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443EF" w14:textId="0BC1330F" w:rsidR="005F3402" w:rsidRDefault="00863EDA" w:rsidP="00FB15E9">
      <w:pPr>
        <w:rPr>
          <w:rFonts w:ascii="Calibri" w:hAnsi="Calibri" w:cs="Calibri"/>
        </w:rPr>
      </w:pPr>
      <w:r w:rsidRPr="00863EDA">
        <w:rPr>
          <w:rFonts w:ascii="Calibri" w:hAnsi="Calibri" w:cs="Calibri"/>
        </w:rPr>
        <w:t>5</w:t>
      </w:r>
      <w:r w:rsidR="00495EA3">
        <w:rPr>
          <w:rFonts w:ascii="Calibri" w:hAnsi="Calibri" w:cs="Calibri"/>
        </w:rPr>
        <w:t xml:space="preserve"> </w:t>
      </w:r>
      <w:r w:rsidR="00843493">
        <w:rPr>
          <w:rFonts w:ascii="Calibri" w:hAnsi="Calibri" w:cs="Calibri"/>
        </w:rPr>
        <w:t>September</w:t>
      </w:r>
      <w:r w:rsidR="00495EA3">
        <w:rPr>
          <w:rFonts w:ascii="Calibri" w:hAnsi="Calibri" w:cs="Calibri"/>
        </w:rPr>
        <w:t xml:space="preserve"> 2019</w:t>
      </w:r>
    </w:p>
    <w:p w14:paraId="3F1367EC" w14:textId="74CC0AD1" w:rsidR="00FB15E9" w:rsidRPr="007A3F66" w:rsidRDefault="00843493" w:rsidP="00FB15E9">
      <w:pPr>
        <w:rPr>
          <w:rFonts w:ascii="Calibri" w:eastAsia="Times New Roman" w:hAnsi="Calibri" w:cs="Calibri"/>
          <w:b/>
          <w:bCs/>
          <w:lang w:eastAsia="en-NZ"/>
        </w:rPr>
      </w:pPr>
      <w:r>
        <w:rPr>
          <w:rFonts w:ascii="Calibri" w:hAnsi="Calibri" w:cs="Calibri"/>
          <w:b/>
          <w:bCs/>
        </w:rPr>
        <w:t>Sue Begg</w:t>
      </w:r>
      <w:r>
        <w:rPr>
          <w:rFonts w:ascii="Calibri" w:hAnsi="Calibri" w:cs="Calibri"/>
          <w:b/>
          <w:bCs/>
        </w:rPr>
        <w:br/>
        <w:t>Deputy chair</w:t>
      </w:r>
      <w:r>
        <w:rPr>
          <w:rFonts w:ascii="Calibri" w:hAnsi="Calibri" w:cs="Calibri"/>
          <w:b/>
          <w:bCs/>
        </w:rPr>
        <w:br/>
      </w:r>
      <w:r w:rsidR="00AC02BB" w:rsidRPr="007A3F66">
        <w:rPr>
          <w:rFonts w:ascii="Calibri" w:hAnsi="Calibri" w:cs="Calibri"/>
          <w:b/>
          <w:bCs/>
        </w:rPr>
        <w:t>Commerce Commiss</w:t>
      </w:r>
      <w:r w:rsidR="00FB15E9" w:rsidRPr="007A3F66">
        <w:rPr>
          <w:rFonts w:ascii="Calibri" w:hAnsi="Calibri" w:cs="Calibri"/>
          <w:b/>
          <w:bCs/>
        </w:rPr>
        <w:t>i</w:t>
      </w:r>
      <w:r w:rsidR="00AC02BB" w:rsidRPr="007A3F66">
        <w:rPr>
          <w:rFonts w:ascii="Calibri" w:hAnsi="Calibri" w:cs="Calibri"/>
          <w:b/>
          <w:bCs/>
        </w:rPr>
        <w:t>on</w:t>
      </w:r>
      <w:r w:rsidR="00FB15E9" w:rsidRPr="007A3F66">
        <w:rPr>
          <w:rFonts w:ascii="Calibri" w:hAnsi="Calibri" w:cs="Calibri"/>
          <w:b/>
          <w:bCs/>
        </w:rPr>
        <w:br/>
      </w:r>
      <w:r w:rsidR="00FB15E9" w:rsidRPr="007A3F66">
        <w:rPr>
          <w:rFonts w:ascii="Calibri" w:eastAsia="Times New Roman" w:hAnsi="Calibri" w:cs="Calibri"/>
          <w:b/>
          <w:bCs/>
          <w:lang w:eastAsia="en-NZ"/>
        </w:rPr>
        <w:t>PO Box 2351</w:t>
      </w:r>
      <w:r w:rsidR="00FB15E9" w:rsidRPr="007A3F66">
        <w:rPr>
          <w:rFonts w:ascii="Calibri" w:eastAsia="Times New Roman" w:hAnsi="Calibri" w:cs="Calibri"/>
          <w:b/>
          <w:bCs/>
          <w:lang w:eastAsia="en-NZ"/>
        </w:rPr>
        <w:br/>
        <w:t>Wellington 6140</w:t>
      </w:r>
    </w:p>
    <w:p w14:paraId="64E803CD" w14:textId="2DD66A93" w:rsidR="007A3F66" w:rsidRDefault="007A3F66" w:rsidP="005F3402">
      <w:pPr>
        <w:rPr>
          <w:rFonts w:ascii="Calibri" w:hAnsi="Calibri" w:cs="Calibri"/>
          <w:b/>
        </w:rPr>
      </w:pPr>
    </w:p>
    <w:p w14:paraId="569604C6" w14:textId="5C0C74C1" w:rsidR="005F3402" w:rsidRPr="00FB15E9" w:rsidRDefault="005F3402" w:rsidP="005F3402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RE:</w:t>
      </w:r>
      <w:r w:rsidR="00DA3589">
        <w:rPr>
          <w:rFonts w:ascii="Calibri" w:hAnsi="Calibri" w:cs="Calibri"/>
          <w:b/>
        </w:rPr>
        <w:t xml:space="preserve"> </w:t>
      </w:r>
      <w:r w:rsidRPr="00FB15E9">
        <w:rPr>
          <w:rFonts w:ascii="Calibri" w:hAnsi="Calibri" w:cs="Calibri"/>
          <w:b/>
        </w:rPr>
        <w:t>Unsustainable WACC estimate for DPP3</w:t>
      </w:r>
      <w:r w:rsidR="00DA3589">
        <w:rPr>
          <w:rFonts w:ascii="Calibri" w:hAnsi="Calibri" w:cs="Calibri"/>
          <w:b/>
        </w:rPr>
        <w:t>;</w:t>
      </w:r>
      <w:r w:rsidRPr="00FB15E9">
        <w:rPr>
          <w:rFonts w:ascii="Calibri" w:hAnsi="Calibri" w:cs="Calibri"/>
          <w:b/>
        </w:rPr>
        <w:t xml:space="preserve"> bias and risk in CPI forecasts</w:t>
      </w:r>
    </w:p>
    <w:p w14:paraId="6C7E53E7" w14:textId="77777777" w:rsidR="00190943" w:rsidRPr="00FB15E9" w:rsidRDefault="00190943" w:rsidP="00AC02BB">
      <w:pPr>
        <w:rPr>
          <w:rFonts w:ascii="Calibri" w:hAnsi="Calibri" w:cs="Calibri"/>
        </w:rPr>
      </w:pPr>
    </w:p>
    <w:p w14:paraId="072BD057" w14:textId="77777777" w:rsidR="00E24469" w:rsidRDefault="00AC02BB" w:rsidP="00A63851">
      <w:pPr>
        <w:jc w:val="both"/>
        <w:rPr>
          <w:rFonts w:ascii="Calibri" w:hAnsi="Calibri" w:cs="Calibri"/>
        </w:rPr>
      </w:pPr>
      <w:r w:rsidRPr="00CC63E1">
        <w:rPr>
          <w:rFonts w:ascii="Calibri" w:hAnsi="Calibri" w:cs="Calibri"/>
        </w:rPr>
        <w:t xml:space="preserve">Dear </w:t>
      </w:r>
      <w:r w:rsidR="00E24469">
        <w:rPr>
          <w:rFonts w:ascii="Calibri" w:hAnsi="Calibri" w:cs="Calibri"/>
        </w:rPr>
        <w:t>Sue</w:t>
      </w:r>
    </w:p>
    <w:p w14:paraId="3157226B" w14:textId="31CB9EAF" w:rsidR="0068195C" w:rsidRDefault="00F47DA1" w:rsidP="00A63851">
      <w:pPr>
        <w:jc w:val="both"/>
      </w:pPr>
      <w:r>
        <w:t xml:space="preserve">It is unusual for me to write to you </w:t>
      </w:r>
      <w:r w:rsidR="005048D4">
        <w:t xml:space="preserve">directly, but </w:t>
      </w:r>
      <w:r w:rsidR="00DA099D">
        <w:t xml:space="preserve">we have a </w:t>
      </w:r>
      <w:r>
        <w:t>specific issue</w:t>
      </w:r>
      <w:r w:rsidR="00DA099D">
        <w:t xml:space="preserve"> which </w:t>
      </w:r>
      <w:r w:rsidR="00C70EF9">
        <w:t>has become important.</w:t>
      </w:r>
      <w:r w:rsidR="00A33CDF">
        <w:t xml:space="preserve"> First, </w:t>
      </w:r>
      <w:r w:rsidR="00BB6DCE">
        <w:t>I would like to acknowledge that this letter is addressed to you</w:t>
      </w:r>
      <w:r w:rsidR="003148E9">
        <w:t xml:space="preserve"> as deputy chair </w:t>
      </w:r>
      <w:r w:rsidR="00BB6DCE">
        <w:t xml:space="preserve">but is also relevant to other Commissioners we engage with </w:t>
      </w:r>
      <w:r w:rsidR="003148E9">
        <w:t xml:space="preserve">on electricity distribution regulation </w:t>
      </w:r>
      <w:r w:rsidR="00BB6DCE">
        <w:t xml:space="preserve">– </w:t>
      </w:r>
      <w:r w:rsidR="00050078">
        <w:t>T</w:t>
      </w:r>
      <w:r w:rsidR="00562A4B">
        <w:t xml:space="preserve">elecommunications </w:t>
      </w:r>
      <w:r w:rsidR="00050078">
        <w:t>C</w:t>
      </w:r>
      <w:r w:rsidR="00562A4B">
        <w:t xml:space="preserve">ommissioner Dr </w:t>
      </w:r>
      <w:r w:rsidR="00BB6DCE">
        <w:t xml:space="preserve">Stephen Gale, </w:t>
      </w:r>
      <w:r w:rsidR="00050078">
        <w:t>C</w:t>
      </w:r>
      <w:r w:rsidR="00B56A98">
        <w:t xml:space="preserve">ommissioner </w:t>
      </w:r>
      <w:r w:rsidR="00BB6DCE">
        <w:t>Elisabeth Welson, and</w:t>
      </w:r>
      <w:r w:rsidR="0068195C">
        <w:t>,</w:t>
      </w:r>
      <w:r w:rsidR="00BB6DCE">
        <w:t xml:space="preserve"> </w:t>
      </w:r>
      <w:r w:rsidR="0068195C">
        <w:t>more recently,</w:t>
      </w:r>
      <w:r w:rsidR="00B56A98">
        <w:t xml:space="preserve"> </w:t>
      </w:r>
      <w:r w:rsidR="00050078">
        <w:t>A</w:t>
      </w:r>
      <w:r w:rsidR="00B56A98">
        <w:t>ssociate</w:t>
      </w:r>
      <w:r w:rsidR="0068195C">
        <w:t xml:space="preserve"> </w:t>
      </w:r>
      <w:r w:rsidR="00050078">
        <w:t>C</w:t>
      </w:r>
      <w:r w:rsidR="00B56A98">
        <w:t xml:space="preserve">ommissioner </w:t>
      </w:r>
      <w:r w:rsidR="0068195C">
        <w:t>John Crawford.</w:t>
      </w:r>
    </w:p>
    <w:p w14:paraId="5AE4F779" w14:textId="093CA406" w:rsidR="00991514" w:rsidRDefault="00863EDA" w:rsidP="00A63851">
      <w:pPr>
        <w:jc w:val="both"/>
      </w:pPr>
      <w:r>
        <w:t xml:space="preserve">Please accept </w:t>
      </w:r>
      <w:r w:rsidR="0010136C">
        <w:t xml:space="preserve">that the letter is being sent out of the </w:t>
      </w:r>
      <w:r w:rsidR="00D83C46">
        <w:t>established r</w:t>
      </w:r>
      <w:r w:rsidR="00F02A94">
        <w:t xml:space="preserve">egulatory cycle </w:t>
      </w:r>
      <w:r w:rsidR="00B56A98">
        <w:t>dealing with</w:t>
      </w:r>
      <w:r w:rsidR="00F02A94">
        <w:t xml:space="preserve">, in this instance, </w:t>
      </w:r>
      <w:r w:rsidR="00D83C46">
        <w:t>the substantial input methodology reset, next due in 20</w:t>
      </w:r>
      <w:r w:rsidR="006A3A2C">
        <w:t>2</w:t>
      </w:r>
      <w:r w:rsidR="00D83C46">
        <w:t>3.</w:t>
      </w:r>
      <w:r w:rsidR="00ED7E2E">
        <w:t xml:space="preserve"> W</w:t>
      </w:r>
      <w:r w:rsidR="00680B38">
        <w:t xml:space="preserve">e understand where we are in the cycle, but, at seven years, it is a long window and there </w:t>
      </w:r>
      <w:r w:rsidR="00991514">
        <w:t xml:space="preserve">of course </w:t>
      </w:r>
      <w:r w:rsidR="00680B38">
        <w:t>consequences that arise</w:t>
      </w:r>
      <w:r w:rsidR="00991514">
        <w:t xml:space="preserve"> between resets.</w:t>
      </w:r>
    </w:p>
    <w:p w14:paraId="5E967981" w14:textId="035965B4" w:rsidR="00977347" w:rsidRDefault="00991514" w:rsidP="00A63851">
      <w:pPr>
        <w:jc w:val="both"/>
      </w:pPr>
      <w:r>
        <w:t xml:space="preserve">I would also comment that while this letter is on an ENA letterhead, </w:t>
      </w:r>
      <w:r w:rsidR="00E8752B">
        <w:t>I am speaking on behalf of 14</w:t>
      </w:r>
      <w:r w:rsidR="003E7C21">
        <w:t xml:space="preserve"> </w:t>
      </w:r>
      <w:r w:rsidR="00977347">
        <w:t xml:space="preserve">of the 17 member </w:t>
      </w:r>
      <w:r w:rsidR="003E7C21">
        <w:t>companies which are on default or customised price paths. Three</w:t>
      </w:r>
      <w:r w:rsidR="0056692F">
        <w:rPr>
          <w:rStyle w:val="FootnoteReference"/>
        </w:rPr>
        <w:footnoteReference w:id="2"/>
      </w:r>
      <w:r w:rsidR="003E7C21">
        <w:t xml:space="preserve"> of our members </w:t>
      </w:r>
      <w:r w:rsidR="00977347">
        <w:t>on DPP or CPPs are not supportive of this letter.</w:t>
      </w:r>
      <w:r w:rsidR="004203D6">
        <w:t xml:space="preserve"> Normally we prefer that </w:t>
      </w:r>
      <w:r w:rsidR="009A2DF3">
        <w:t xml:space="preserve">all </w:t>
      </w:r>
      <w:r w:rsidR="00DA20BF">
        <w:t xml:space="preserve">relevant </w:t>
      </w:r>
      <w:r w:rsidR="009A2DF3">
        <w:t>members agree on positions, but sometimes this is not possible</w:t>
      </w:r>
      <w:r w:rsidR="00636B6D">
        <w:t xml:space="preserve"> </w:t>
      </w:r>
      <w:r w:rsidR="009A2DF3">
        <w:t>and we do occasionally present a</w:t>
      </w:r>
      <w:r w:rsidR="00706501">
        <w:t xml:space="preserve"> qualified </w:t>
      </w:r>
      <w:r w:rsidR="004E468C">
        <w:t>view</w:t>
      </w:r>
      <w:r w:rsidR="009A2DF3">
        <w:t xml:space="preserve">. </w:t>
      </w:r>
      <w:r w:rsidR="004203D6">
        <w:t xml:space="preserve">Nevertheless, the views expressed </w:t>
      </w:r>
      <w:r w:rsidR="00DA20BF">
        <w:t xml:space="preserve">in this letter </w:t>
      </w:r>
      <w:r w:rsidR="004203D6">
        <w:t xml:space="preserve">are </w:t>
      </w:r>
      <w:r w:rsidR="00706501">
        <w:t>th</w:t>
      </w:r>
      <w:r w:rsidR="00DA20BF">
        <w:t xml:space="preserve">at of a majority. </w:t>
      </w:r>
      <w:r w:rsidR="004203D6">
        <w:t xml:space="preserve"> </w:t>
      </w:r>
    </w:p>
    <w:p w14:paraId="71408CB4" w14:textId="7ED3219F" w:rsidR="00225DA1" w:rsidRDefault="00225DA1" w:rsidP="00A63851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Normally ENA would request a meeting before sending a letter. </w:t>
      </w:r>
      <w:r w:rsidR="00450501">
        <w:rPr>
          <w:rFonts w:cstheme="minorHAnsi"/>
        </w:rPr>
        <w:t>B</w:t>
      </w:r>
      <w:r>
        <w:rPr>
          <w:rFonts w:cstheme="minorHAnsi"/>
        </w:rPr>
        <w:t>ased on experience, I’m aware that Commissioners prefer not to engage while in deliberations on final decisions. We would of course, welcome a di</w:t>
      </w:r>
      <w:bookmarkStart w:id="0" w:name="_GoBack"/>
      <w:bookmarkEnd w:id="0"/>
      <w:r>
        <w:rPr>
          <w:rFonts w:cstheme="minorHAnsi"/>
        </w:rPr>
        <w:t>scussion at a mutually agreed time</w:t>
      </w:r>
      <w:r w:rsidR="00450501">
        <w:rPr>
          <w:rFonts w:cstheme="minorHAnsi"/>
        </w:rPr>
        <w:t xml:space="preserve"> with </w:t>
      </w:r>
      <w:r w:rsidR="0075254F">
        <w:rPr>
          <w:rFonts w:cstheme="minorHAnsi"/>
        </w:rPr>
        <w:t xml:space="preserve">you and </w:t>
      </w:r>
      <w:r w:rsidR="00450501">
        <w:rPr>
          <w:rFonts w:cstheme="minorHAnsi"/>
        </w:rPr>
        <w:t>your officials</w:t>
      </w:r>
      <w:r>
        <w:rPr>
          <w:rFonts w:cstheme="minorHAnsi"/>
        </w:rPr>
        <w:t>.</w:t>
      </w:r>
    </w:p>
    <w:p w14:paraId="15F15378" w14:textId="0E19F455" w:rsidR="001E5E0C" w:rsidRPr="001E5E0C" w:rsidRDefault="001E5E0C" w:rsidP="00A63851">
      <w:pPr>
        <w:jc w:val="both"/>
        <w:rPr>
          <w:b/>
          <w:bCs/>
        </w:rPr>
      </w:pPr>
      <w:r w:rsidRPr="001E5E0C">
        <w:rPr>
          <w:b/>
          <w:bCs/>
        </w:rPr>
        <w:t>Purpose</w:t>
      </w:r>
    </w:p>
    <w:p w14:paraId="0332341F" w14:textId="620ABCB6" w:rsidR="0017050C" w:rsidRDefault="003E17F1" w:rsidP="00A63851">
      <w:pPr>
        <w:jc w:val="both"/>
      </w:pPr>
      <w:r>
        <w:t>The purpose of this letter is to highlight</w:t>
      </w:r>
      <w:r w:rsidR="007432B3">
        <w:t xml:space="preserve"> non-exempt </w:t>
      </w:r>
      <w:r>
        <w:t xml:space="preserve">members’ concerns </w:t>
      </w:r>
      <w:r w:rsidR="0017050C">
        <w:t xml:space="preserve">about the Weighted Average Cost of Capital </w:t>
      </w:r>
      <w:r w:rsidR="00D126CD">
        <w:t xml:space="preserve">(WACC) </w:t>
      </w:r>
      <w:r w:rsidR="0017050C">
        <w:t xml:space="preserve">for the forthcoming five-year regulatory period beginning April </w:t>
      </w:r>
      <w:r w:rsidR="00CD20D8">
        <w:t>2020</w:t>
      </w:r>
      <w:r w:rsidR="0017050C">
        <w:t>.</w:t>
      </w:r>
      <w:r w:rsidR="00D45C30">
        <w:t xml:space="preserve"> We are also concerned about the approach to forecasting inflation for the third default price path (DPP3)</w:t>
      </w:r>
      <w:r w:rsidR="009B142B">
        <w:t>.</w:t>
      </w:r>
      <w:r w:rsidR="00D45C30">
        <w:t xml:space="preserve"> </w:t>
      </w:r>
    </w:p>
    <w:p w14:paraId="580B726E" w14:textId="77777777" w:rsidR="008B19D7" w:rsidRPr="00FB15E9" w:rsidRDefault="008B19D7" w:rsidP="00A63851">
      <w:pPr>
        <w:jc w:val="both"/>
      </w:pPr>
      <w:r w:rsidRPr="00FB15E9">
        <w:t>Our realistic assessment is that we face:</w:t>
      </w:r>
    </w:p>
    <w:p w14:paraId="4A31D24F" w14:textId="0C8D1F2D" w:rsidR="008B19D7" w:rsidRPr="00FB15E9" w:rsidRDefault="008B19D7" w:rsidP="00A63851">
      <w:pPr>
        <w:pStyle w:val="ListParagraph"/>
        <w:numPr>
          <w:ilvl w:val="0"/>
          <w:numId w:val="4"/>
        </w:numPr>
        <w:jc w:val="both"/>
      </w:pPr>
      <w:r w:rsidRPr="00FB15E9">
        <w:t xml:space="preserve">a WACC that is </w:t>
      </w:r>
      <w:r w:rsidR="005E6365">
        <w:t xml:space="preserve">impractically </w:t>
      </w:r>
      <w:r w:rsidRPr="00FB15E9">
        <w:t>low;</w:t>
      </w:r>
    </w:p>
    <w:p w14:paraId="745DED33" w14:textId="2C4C7BE5" w:rsidR="008B19D7" w:rsidRPr="00FB15E9" w:rsidRDefault="008B19D7" w:rsidP="00A63851">
      <w:pPr>
        <w:pStyle w:val="ListParagraph"/>
        <w:numPr>
          <w:ilvl w:val="0"/>
          <w:numId w:val="4"/>
        </w:numPr>
        <w:jc w:val="both"/>
      </w:pPr>
      <w:r w:rsidRPr="00FB15E9">
        <w:t xml:space="preserve">bias in </w:t>
      </w:r>
      <w:r w:rsidR="00160059">
        <w:t xml:space="preserve">the CPI </w:t>
      </w:r>
      <w:r w:rsidRPr="00FB15E9">
        <w:t xml:space="preserve">forecast revaluation component of returns; and </w:t>
      </w:r>
    </w:p>
    <w:p w14:paraId="1185B875" w14:textId="77777777" w:rsidR="00706501" w:rsidRDefault="008B19D7" w:rsidP="00A63851">
      <w:pPr>
        <w:pStyle w:val="ListParagraph"/>
        <w:numPr>
          <w:ilvl w:val="0"/>
          <w:numId w:val="4"/>
        </w:numPr>
        <w:jc w:val="both"/>
      </w:pPr>
      <w:r w:rsidRPr="00CB09E0">
        <w:t>far greater downside risks to CPI outturns than upside risks, given the deteriorating macro-economic</w:t>
      </w:r>
      <w:r w:rsidR="00706501">
        <w:t xml:space="preserve"> </w:t>
      </w:r>
      <w:r w:rsidRPr="00CB09E0">
        <w:t xml:space="preserve">environment. </w:t>
      </w:r>
    </w:p>
    <w:p w14:paraId="7DABF232" w14:textId="77777777" w:rsidR="00050078" w:rsidRPr="00FB15E9" w:rsidRDefault="00050078" w:rsidP="0073437A">
      <w:pPr>
        <w:jc w:val="both"/>
      </w:pPr>
      <w:r w:rsidRPr="00FB15E9">
        <w:t xml:space="preserve">If the current methodologies for setting the WACC and the exposure to CPI forecast error and bias remain, then our </w:t>
      </w:r>
      <w:r>
        <w:t>non-exempt m</w:t>
      </w:r>
      <w:r w:rsidRPr="00FB15E9">
        <w:t xml:space="preserve">embers </w:t>
      </w:r>
      <w:r>
        <w:t xml:space="preserve">are </w:t>
      </w:r>
      <w:r w:rsidRPr="00FB15E9">
        <w:t xml:space="preserve">confronting </w:t>
      </w:r>
      <w:r>
        <w:t xml:space="preserve">regulated returns so low that they risk being insufficient to meet </w:t>
      </w:r>
      <w:r w:rsidRPr="00FB15E9">
        <w:t>investment responsibilities</w:t>
      </w:r>
      <w:r>
        <w:t xml:space="preserve"> which service the needs of our customers. </w:t>
      </w:r>
      <w:r w:rsidRPr="00FB15E9">
        <w:t xml:space="preserve">As custodians of critical infrastructure, this is </w:t>
      </w:r>
      <w:r>
        <w:t xml:space="preserve">clearly </w:t>
      </w:r>
      <w:r w:rsidRPr="00FB15E9">
        <w:t xml:space="preserve">not a position we wish to </w:t>
      </w:r>
      <w:r>
        <w:t xml:space="preserve">be </w:t>
      </w:r>
      <w:r w:rsidRPr="00FB15E9">
        <w:t>in.</w:t>
      </w:r>
    </w:p>
    <w:p w14:paraId="07161F9D" w14:textId="28B0B3C1" w:rsidR="002E69C9" w:rsidRPr="001E5E0C" w:rsidRDefault="002E69C9" w:rsidP="00A63851">
      <w:pPr>
        <w:jc w:val="both"/>
        <w:rPr>
          <w:b/>
          <w:bCs/>
        </w:rPr>
      </w:pPr>
      <w:r w:rsidRPr="001E5E0C">
        <w:rPr>
          <w:b/>
          <w:bCs/>
        </w:rPr>
        <w:t>WACC unrealistically low</w:t>
      </w:r>
    </w:p>
    <w:p w14:paraId="0C376B36" w14:textId="14B1E66A" w:rsidR="004B020B" w:rsidRDefault="0017050C" w:rsidP="00A63851">
      <w:pPr>
        <w:jc w:val="both"/>
      </w:pPr>
      <w:r>
        <w:t>As I write, the</w:t>
      </w:r>
      <w:r w:rsidR="002E657B">
        <w:t xml:space="preserve"> three-month </w:t>
      </w:r>
      <w:r w:rsidR="00495EA3">
        <w:t xml:space="preserve">measurement period </w:t>
      </w:r>
      <w:r w:rsidR="00050078">
        <w:t xml:space="preserve">for the estimate of </w:t>
      </w:r>
      <w:r w:rsidR="00495EA3">
        <w:t>the risk-</w:t>
      </w:r>
      <w:r w:rsidR="002E657B">
        <w:t>fre</w:t>
      </w:r>
      <w:r w:rsidR="00495EA3">
        <w:t>e rate</w:t>
      </w:r>
      <w:r w:rsidR="007432B3">
        <w:t xml:space="preserve"> </w:t>
      </w:r>
      <w:r w:rsidR="004B020B">
        <w:t xml:space="preserve">used to </w:t>
      </w:r>
      <w:r w:rsidR="007432B3">
        <w:t xml:space="preserve">finalise </w:t>
      </w:r>
      <w:r w:rsidR="004B020B">
        <w:t>the W</w:t>
      </w:r>
      <w:r>
        <w:t xml:space="preserve">ACC </w:t>
      </w:r>
      <w:r w:rsidR="004B020B">
        <w:t>for electricity distribution businesses</w:t>
      </w:r>
      <w:r w:rsidR="00050078">
        <w:t xml:space="preserve"> has finished</w:t>
      </w:r>
      <w:r w:rsidR="004B020B">
        <w:t>.</w:t>
      </w:r>
    </w:p>
    <w:p w14:paraId="089F5209" w14:textId="54406308" w:rsidR="00AC02BB" w:rsidRPr="00FB15E9" w:rsidRDefault="00AC02BB" w:rsidP="00A63851">
      <w:pPr>
        <w:jc w:val="both"/>
      </w:pPr>
      <w:r w:rsidRPr="00FB15E9">
        <w:t>In the ENA’s recent cross-submission to the Commission on the DPP Draft Determination</w:t>
      </w:r>
      <w:r w:rsidR="00E50A50">
        <w:rPr>
          <w:rStyle w:val="FootnoteReference"/>
          <w:rFonts w:ascii="Calibri" w:hAnsi="Calibri" w:cs="Calibri"/>
        </w:rPr>
        <w:footnoteReference w:id="3"/>
      </w:r>
      <w:r w:rsidRPr="00FB15E9">
        <w:t xml:space="preserve">, we registered on behalf of our </w:t>
      </w:r>
      <w:r w:rsidR="004337D3">
        <w:t>m</w:t>
      </w:r>
      <w:r w:rsidRPr="00FB15E9">
        <w:t xml:space="preserve">embers a significant concern that the unprecedented interest rate environment will flow through to a WACC </w:t>
      </w:r>
      <w:r w:rsidR="00486F10">
        <w:t>t</w:t>
      </w:r>
      <w:r w:rsidRPr="00FB15E9">
        <w:t xml:space="preserve">hat will be insufficient to motivate investment.  </w:t>
      </w:r>
    </w:p>
    <w:p w14:paraId="71570BDF" w14:textId="59A25AE3" w:rsidR="00F857EC" w:rsidRDefault="00AC02BB" w:rsidP="00A63851">
      <w:pPr>
        <w:jc w:val="both"/>
      </w:pPr>
      <w:r w:rsidRPr="00FB15E9">
        <w:t>We drew specific attention to the problems of negative real Government bond rates, which are a proxy for the real risk-free rate.</w:t>
      </w:r>
      <w:r w:rsidR="002C1401">
        <w:t xml:space="preserve"> Since we made our submission,</w:t>
      </w:r>
      <w:r w:rsidR="00050078">
        <w:t xml:space="preserve"> by the end of the measurement period</w:t>
      </w:r>
      <w:r w:rsidR="002C1401">
        <w:t xml:space="preserve"> </w:t>
      </w:r>
      <w:r w:rsidR="00050078">
        <w:t xml:space="preserve">nominal </w:t>
      </w:r>
      <w:r w:rsidR="002C1401">
        <w:t>yield</w:t>
      </w:r>
      <w:r w:rsidR="00050078">
        <w:t>s</w:t>
      </w:r>
      <w:r w:rsidR="002C1401">
        <w:t xml:space="preserve"> </w:t>
      </w:r>
      <w:r w:rsidR="00050078">
        <w:t xml:space="preserve">had </w:t>
      </w:r>
      <w:r w:rsidR="002C1401">
        <w:t>fallen to new historic lows of only 0.</w:t>
      </w:r>
      <w:r w:rsidR="00050078">
        <w:t>8</w:t>
      </w:r>
      <w:r w:rsidR="002C1401">
        <w:t xml:space="preserve"> percent, </w:t>
      </w:r>
      <w:r w:rsidR="00050078">
        <w:t>with an average of -0.</w:t>
      </w:r>
      <w:r w:rsidR="00F06B35">
        <w:t>9</w:t>
      </w:r>
      <w:r w:rsidR="00050078">
        <w:t xml:space="preserve">% </w:t>
      </w:r>
      <w:r w:rsidR="002C1401">
        <w:t>in real terms</w:t>
      </w:r>
      <w:r w:rsidR="00376B12">
        <w:t xml:space="preserve"> (assuming inflation of two percent)</w:t>
      </w:r>
      <w:r w:rsidR="00050078">
        <w:t xml:space="preserve"> over the measurement period</w:t>
      </w:r>
      <w:r w:rsidR="002C1401">
        <w:t>.</w:t>
      </w:r>
      <w:r w:rsidRPr="00FB15E9">
        <w:t xml:space="preserve"> </w:t>
      </w:r>
    </w:p>
    <w:p w14:paraId="6608DC3D" w14:textId="0FD4D0FE" w:rsidR="00A44F28" w:rsidRDefault="00A44F28" w:rsidP="00A63851">
      <w:pPr>
        <w:jc w:val="both"/>
      </w:pPr>
      <w:r>
        <w:t>S</w:t>
      </w:r>
      <w:r w:rsidRPr="00FB15E9">
        <w:t>uch an unprecedented environment of negative real interest rates was never contemplated</w:t>
      </w:r>
      <w:r>
        <w:t xml:space="preserve"> w</w:t>
      </w:r>
      <w:r w:rsidR="00AC02BB" w:rsidRPr="00FB15E9">
        <w:t xml:space="preserve">hen the WACC </w:t>
      </w:r>
      <w:r>
        <w:t xml:space="preserve">input methodology </w:t>
      </w:r>
      <w:r w:rsidR="00AC02BB" w:rsidRPr="00FB15E9">
        <w:t xml:space="preserve">was </w:t>
      </w:r>
      <w:r>
        <w:t>re</w:t>
      </w:r>
      <w:r w:rsidR="00AC02BB" w:rsidRPr="00FB15E9">
        <w:t>set</w:t>
      </w:r>
      <w:r>
        <w:t xml:space="preserve"> in 2016.</w:t>
      </w:r>
    </w:p>
    <w:p w14:paraId="631AD432" w14:textId="07E1349F" w:rsidR="00AC02BB" w:rsidRDefault="00A44F28" w:rsidP="00A63851">
      <w:pPr>
        <w:jc w:val="both"/>
      </w:pPr>
      <w:r>
        <w:t>In our submission</w:t>
      </w:r>
      <w:r w:rsidR="00C27F3C">
        <w:t xml:space="preserve"> </w:t>
      </w:r>
      <w:r>
        <w:t>ENA also noted that</w:t>
      </w:r>
      <w:r w:rsidR="00C27F3C">
        <w:t>, in</w:t>
      </w:r>
      <w:r>
        <w:t xml:space="preserve"> this </w:t>
      </w:r>
      <w:r w:rsidR="003B5113">
        <w:t xml:space="preserve">unmatched </w:t>
      </w:r>
      <w:r w:rsidR="00AC02BB" w:rsidRPr="00FB15E9">
        <w:t>low</w:t>
      </w:r>
      <w:r w:rsidR="008B18F2">
        <w:t xml:space="preserve"> New Zealand </w:t>
      </w:r>
      <w:r w:rsidR="00AC02BB" w:rsidRPr="00FB15E9">
        <w:t>interest</w:t>
      </w:r>
      <w:r w:rsidR="008B18F2">
        <w:t xml:space="preserve"> </w:t>
      </w:r>
      <w:r w:rsidR="00AC02BB" w:rsidRPr="00FB15E9">
        <w:t>rate environment</w:t>
      </w:r>
      <w:r w:rsidR="00C27F3C">
        <w:t>,</w:t>
      </w:r>
      <w:r w:rsidR="00AC02BB" w:rsidRPr="00FB15E9">
        <w:t xml:space="preserve"> the</w:t>
      </w:r>
      <w:r w:rsidR="00F857EC">
        <w:t xml:space="preserve"> </w:t>
      </w:r>
      <w:r w:rsidR="00AC02BB" w:rsidRPr="00FB15E9">
        <w:t xml:space="preserve">Commission should not </w:t>
      </w:r>
      <w:r w:rsidR="00BF5C59">
        <w:t xml:space="preserve">resile </w:t>
      </w:r>
      <w:r w:rsidR="00AC02BB" w:rsidRPr="00FB15E9">
        <w:t xml:space="preserve">from </w:t>
      </w:r>
      <w:r w:rsidR="00BF5C59">
        <w:t xml:space="preserve">its responsibility to make </w:t>
      </w:r>
      <w:r w:rsidR="00AC02BB" w:rsidRPr="00FB15E9">
        <w:t xml:space="preserve">urgent changes to the WACC IM to ensure that the calculated WACC is sufficient to encourage investment.  </w:t>
      </w:r>
    </w:p>
    <w:p w14:paraId="326C4C00" w14:textId="77777777" w:rsidR="00443BCD" w:rsidRDefault="009C1E07" w:rsidP="00A63851">
      <w:pPr>
        <w:jc w:val="both"/>
        <w:rPr>
          <w:rFonts w:cstheme="minorHAnsi"/>
        </w:rPr>
      </w:pPr>
      <w:r>
        <w:rPr>
          <w:rFonts w:cstheme="minorHAnsi"/>
        </w:rPr>
        <w:t>O</w:t>
      </w:r>
      <w:r w:rsidRPr="003E6F20">
        <w:rPr>
          <w:rFonts w:cstheme="minorHAnsi"/>
        </w:rPr>
        <w:t xml:space="preserve">ne of the purposes of Part 4 of the Commerce Act is to promote the long-term benefit of consumers by promoting outcomes that are consistent with those in competitive markets “such that suppliers of </w:t>
      </w:r>
      <w:r w:rsidRPr="003E6F20">
        <w:rPr>
          <w:rFonts w:cstheme="minorHAnsi"/>
        </w:rPr>
        <w:lastRenderedPageBreak/>
        <w:t>regulated goods or services have incentives to innovate and to invest, including in replacement, upgraded, and new assets”</w:t>
      </w:r>
      <w:r w:rsidR="0065709C">
        <w:rPr>
          <w:rStyle w:val="FootnoteReference"/>
          <w:rFonts w:cstheme="minorHAnsi"/>
        </w:rPr>
        <w:footnoteReference w:id="4"/>
      </w:r>
      <w:r w:rsidRPr="003E6F20">
        <w:rPr>
          <w:rFonts w:cstheme="minorHAnsi"/>
        </w:rPr>
        <w:t>.</w:t>
      </w:r>
    </w:p>
    <w:p w14:paraId="761FB964" w14:textId="13941167" w:rsidR="009C1E07" w:rsidRPr="003E6F20" w:rsidRDefault="00624348" w:rsidP="00A63851">
      <w:pPr>
        <w:jc w:val="both"/>
        <w:rPr>
          <w:rFonts w:cstheme="minorHAnsi"/>
        </w:rPr>
      </w:pPr>
      <w:r>
        <w:rPr>
          <w:rFonts w:cstheme="minorHAnsi"/>
        </w:rPr>
        <w:t xml:space="preserve">We are seriously questioning </w:t>
      </w:r>
      <w:r w:rsidR="009C1E07" w:rsidRPr="003E6F20">
        <w:rPr>
          <w:rFonts w:cstheme="minorHAnsi"/>
        </w:rPr>
        <w:t>whether lines companies will be adequately rewarded to innovate and invest when the nominal WACC is capped at 4.6 per cent and the inflation-adjusted WACC is only 2.6 per cent (assuming 2 per cent inflation, the RBNZ’s target).</w:t>
      </w:r>
    </w:p>
    <w:p w14:paraId="549C0F52" w14:textId="3835AEA1" w:rsidR="00EB3BCB" w:rsidRPr="00FB15E9" w:rsidRDefault="00AC02BB" w:rsidP="00A63851">
      <w:pPr>
        <w:jc w:val="both"/>
      </w:pPr>
      <w:r w:rsidRPr="00FB15E9">
        <w:t>ENA’s cross-submission referred the Commission to an expert report from Dr Tom Hird</w:t>
      </w:r>
      <w:r w:rsidR="00921043">
        <w:rPr>
          <w:rStyle w:val="FootnoteReference"/>
          <w:rFonts w:ascii="Calibri" w:hAnsi="Calibri" w:cs="Calibri"/>
        </w:rPr>
        <w:footnoteReference w:id="5"/>
      </w:r>
      <w:r w:rsidRPr="00FB15E9">
        <w:t xml:space="preserve"> on how these issues could be addressed.  </w:t>
      </w:r>
      <w:r w:rsidR="000F7510">
        <w:t xml:space="preserve">If it would </w:t>
      </w:r>
      <w:r w:rsidRPr="00FB15E9">
        <w:t xml:space="preserve">assist the Commission, </w:t>
      </w:r>
      <w:r w:rsidR="000F7510">
        <w:t xml:space="preserve">ENA </w:t>
      </w:r>
      <w:r w:rsidRPr="00FB15E9">
        <w:t xml:space="preserve">would </w:t>
      </w:r>
      <w:r w:rsidR="000F7510">
        <w:t xml:space="preserve">ask </w:t>
      </w:r>
      <w:r w:rsidRPr="00FB15E9">
        <w:t xml:space="preserve">Dr Hird </w:t>
      </w:r>
      <w:r w:rsidR="00C35EE3">
        <w:t xml:space="preserve">to be </w:t>
      </w:r>
      <w:r w:rsidRPr="00FB15E9">
        <w:t>available to answer any questions on his report.</w:t>
      </w:r>
    </w:p>
    <w:p w14:paraId="14B093AF" w14:textId="3BD24E7B" w:rsidR="00AF5280" w:rsidRPr="001E5E0C" w:rsidRDefault="00985257" w:rsidP="00A63851">
      <w:pPr>
        <w:jc w:val="both"/>
        <w:rPr>
          <w:b/>
          <w:bCs/>
        </w:rPr>
      </w:pPr>
      <w:r w:rsidRPr="001E5E0C">
        <w:rPr>
          <w:b/>
          <w:bCs/>
        </w:rPr>
        <w:t>Bias</w:t>
      </w:r>
      <w:r w:rsidR="00BD5961" w:rsidRPr="001E5E0C">
        <w:rPr>
          <w:b/>
          <w:bCs/>
        </w:rPr>
        <w:t xml:space="preserve"> to overestimate </w:t>
      </w:r>
      <w:r w:rsidR="00CE2F22" w:rsidRPr="001E5E0C">
        <w:rPr>
          <w:b/>
          <w:bCs/>
        </w:rPr>
        <w:t xml:space="preserve">CPI </w:t>
      </w:r>
      <w:r w:rsidR="00BC55A6" w:rsidRPr="001E5E0C">
        <w:rPr>
          <w:b/>
          <w:bCs/>
        </w:rPr>
        <w:t>f</w:t>
      </w:r>
      <w:r w:rsidRPr="001E5E0C">
        <w:rPr>
          <w:b/>
          <w:bCs/>
        </w:rPr>
        <w:t>orecast</w:t>
      </w:r>
      <w:r w:rsidR="001E5E0C" w:rsidRPr="001E5E0C">
        <w:rPr>
          <w:b/>
          <w:bCs/>
        </w:rPr>
        <w:t>;</w:t>
      </w:r>
      <w:r w:rsidRPr="001E5E0C">
        <w:rPr>
          <w:b/>
          <w:bCs/>
        </w:rPr>
        <w:t xml:space="preserve"> and </w:t>
      </w:r>
      <w:r w:rsidR="00BC55A6" w:rsidRPr="001E5E0C">
        <w:rPr>
          <w:b/>
          <w:bCs/>
        </w:rPr>
        <w:t>f</w:t>
      </w:r>
      <w:r w:rsidR="00AF5280" w:rsidRPr="001E5E0C">
        <w:rPr>
          <w:b/>
          <w:bCs/>
        </w:rPr>
        <w:t xml:space="preserve">orecast </w:t>
      </w:r>
      <w:r w:rsidR="00BC55A6" w:rsidRPr="001E5E0C">
        <w:rPr>
          <w:b/>
          <w:bCs/>
        </w:rPr>
        <w:t>e</w:t>
      </w:r>
      <w:r w:rsidR="00AF5280" w:rsidRPr="001E5E0C">
        <w:rPr>
          <w:b/>
          <w:bCs/>
        </w:rPr>
        <w:t>rrors</w:t>
      </w:r>
    </w:p>
    <w:p w14:paraId="25AF7134" w14:textId="3F1145D3" w:rsidR="0069167B" w:rsidRDefault="00AC02BB" w:rsidP="00A63851">
      <w:pPr>
        <w:jc w:val="both"/>
      </w:pPr>
      <w:r w:rsidRPr="00FB15E9">
        <w:t>In addition to our concerns about the calculation of WACC, at such low levels of WACC, forecast error in the CPI takes on substantially greater importance to EDBs.</w:t>
      </w:r>
      <w:r w:rsidRPr="00FB15E9">
        <w:rPr>
          <w:rStyle w:val="FootnoteReference"/>
          <w:rFonts w:ascii="Calibri" w:hAnsi="Calibri" w:cs="Calibri"/>
        </w:rPr>
        <w:footnoteReference w:id="6"/>
      </w:r>
      <w:r w:rsidRPr="00FB15E9">
        <w:t xml:space="preserve">  </w:t>
      </w:r>
    </w:p>
    <w:p w14:paraId="6A9DED99" w14:textId="625CF8E4" w:rsidR="0069167B" w:rsidRDefault="00AC02BB" w:rsidP="00A63851">
      <w:pPr>
        <w:jc w:val="both"/>
      </w:pPr>
      <w:r w:rsidRPr="00FB15E9">
        <w:t>Because interest costs are nominal, CPI forecast error is concentrated on equity</w:t>
      </w:r>
      <w:r w:rsidR="0021396B">
        <w:t xml:space="preserve"> </w:t>
      </w:r>
      <w:r w:rsidRPr="00FB15E9">
        <w:t xml:space="preserve">holders and represents a substantial part of the required return.  There is a </w:t>
      </w:r>
      <w:r w:rsidR="0021396B">
        <w:t xml:space="preserve">clear </w:t>
      </w:r>
      <w:r w:rsidRPr="00FB15E9">
        <w:t>track</w:t>
      </w:r>
      <w:r w:rsidR="0021396B">
        <w:t xml:space="preserve"> </w:t>
      </w:r>
      <w:r w:rsidRPr="00FB15E9">
        <w:t xml:space="preserve">record that the </w:t>
      </w:r>
      <w:r w:rsidR="00CE2F22">
        <w:t xml:space="preserve">Reserve Bank of New Zealand </w:t>
      </w:r>
      <w:r w:rsidRPr="00FB15E9">
        <w:t>has systematically over</w:t>
      </w:r>
      <w:r w:rsidR="0021396B">
        <w:t xml:space="preserve"> </w:t>
      </w:r>
      <w:r w:rsidRPr="00FB15E9">
        <w:t xml:space="preserve">forecast CPI throughout the period of DPP regulation, and we have no confidence that this pattern will </w:t>
      </w:r>
      <w:r w:rsidR="00A13F18">
        <w:t>dis</w:t>
      </w:r>
      <w:r w:rsidRPr="00FB15E9">
        <w:t xml:space="preserve">continue in DPP3.  </w:t>
      </w:r>
    </w:p>
    <w:p w14:paraId="6D9A7BF9" w14:textId="31DD5382" w:rsidR="0069167B" w:rsidRDefault="00AC02BB" w:rsidP="00A63851">
      <w:pPr>
        <w:jc w:val="both"/>
      </w:pPr>
      <w:r w:rsidRPr="00FB15E9">
        <w:t xml:space="preserve">In addition, there is little sign of inflationary pressures in the economy, so we assess that on top of forecast bias there is substantial downside risk to the RBNZ/Commission CPI forecast that inflation will </w:t>
      </w:r>
      <w:r w:rsidR="001E7638">
        <w:t xml:space="preserve">trend </w:t>
      </w:r>
      <w:r w:rsidR="007F031B">
        <w:t xml:space="preserve">back to two percent </w:t>
      </w:r>
      <w:r w:rsidR="00BB7859">
        <w:t>in 2021</w:t>
      </w:r>
      <w:r w:rsidR="00D80ADE">
        <w:rPr>
          <w:rStyle w:val="FootnoteReference"/>
          <w:rFonts w:ascii="Calibri" w:hAnsi="Calibri" w:cs="Calibri"/>
        </w:rPr>
        <w:footnoteReference w:id="7"/>
      </w:r>
      <w:r w:rsidR="00BB7859">
        <w:t xml:space="preserve">. </w:t>
      </w:r>
      <w:r w:rsidRPr="00FB15E9">
        <w:t xml:space="preserve">  </w:t>
      </w:r>
      <w:r w:rsidR="00075DD3">
        <w:t xml:space="preserve">Realistically, even if the nominal WACC is set at 4.6%, EDBs would, on an expectations basis, earn less than </w:t>
      </w:r>
      <w:r w:rsidR="00604C0E">
        <w:t>4.6% -</w:t>
      </w:r>
      <w:r w:rsidR="00075DD3">
        <w:t xml:space="preserve"> given </w:t>
      </w:r>
      <w:r w:rsidR="00604C0E">
        <w:t xml:space="preserve">our </w:t>
      </w:r>
      <w:r w:rsidR="00075DD3">
        <w:t>concerns about CPI bias and downside risk assessments.</w:t>
      </w:r>
    </w:p>
    <w:p w14:paraId="44991B8E" w14:textId="6B2332BA" w:rsidR="00AC02BB" w:rsidRPr="00FB15E9" w:rsidRDefault="00AC02BB" w:rsidP="00A63851">
      <w:pPr>
        <w:jc w:val="both"/>
      </w:pPr>
      <w:r w:rsidRPr="00FB15E9">
        <w:t xml:space="preserve">Accordingly, we reiterate our request that the Commission put in place mechanisms within the DPP to </w:t>
      </w:r>
      <w:r w:rsidR="008C5E4B">
        <w:t>‘t</w:t>
      </w:r>
      <w:r w:rsidRPr="00FB15E9">
        <w:t>rue-up</w:t>
      </w:r>
      <w:r w:rsidR="008C5E4B">
        <w:t>’</w:t>
      </w:r>
      <w:r w:rsidRPr="00FB15E9">
        <w:t xml:space="preserve"> CPI forecast errors.  </w:t>
      </w:r>
      <w:r w:rsidR="006338E9">
        <w:t>This could be an annual</w:t>
      </w:r>
      <w:r w:rsidR="00D600A0">
        <w:t>, rather than five-yearly,</w:t>
      </w:r>
      <w:r w:rsidR="006338E9">
        <w:t xml:space="preserve"> wash-up mechanism.</w:t>
      </w:r>
      <w:r w:rsidR="008C5E4B">
        <w:t xml:space="preserve"> </w:t>
      </w:r>
    </w:p>
    <w:p w14:paraId="5789A62B" w14:textId="67A3DBE9" w:rsidR="00D36975" w:rsidRPr="00603ABF" w:rsidRDefault="00D36975" w:rsidP="00A63851">
      <w:pPr>
        <w:jc w:val="both"/>
        <w:rPr>
          <w:b/>
          <w:bCs/>
        </w:rPr>
      </w:pPr>
      <w:r w:rsidRPr="00603ABF">
        <w:rPr>
          <w:b/>
          <w:bCs/>
        </w:rPr>
        <w:t>Summary</w:t>
      </w:r>
    </w:p>
    <w:p w14:paraId="3C102B60" w14:textId="01B26025" w:rsidR="004C11DD" w:rsidRDefault="004C11DD" w:rsidP="00A63851">
      <w:pPr>
        <w:jc w:val="both"/>
      </w:pPr>
      <w:r>
        <w:t>Enabling electricity distribution businesses to earn a fair market return will help ensure a correct level of investment in New Zealand distribution network. This is even more important for the DPP3 regulatory period with EDB</w:t>
      </w:r>
      <w:r w:rsidR="00C32E28">
        <w:t>s</w:t>
      </w:r>
      <w:r>
        <w:t xml:space="preserve"> considering the change in investment required for parallel investment to to support customer distributed energy resources</w:t>
      </w:r>
      <w:r w:rsidR="009B142B">
        <w:t>,</w:t>
      </w:r>
      <w:r>
        <w:t xml:space="preserve"> and government decarbonisation initiatives. </w:t>
      </w:r>
    </w:p>
    <w:p w14:paraId="4CB785D0" w14:textId="77777777" w:rsidR="0073501E" w:rsidRDefault="008B67FB" w:rsidP="00A63851">
      <w:pPr>
        <w:jc w:val="both"/>
        <w:rPr>
          <w:rFonts w:cstheme="minorHAnsi"/>
        </w:rPr>
      </w:pPr>
      <w:r w:rsidRPr="00176564">
        <w:rPr>
          <w:rFonts w:cstheme="minorHAnsi"/>
        </w:rPr>
        <w:t xml:space="preserve">In summary, </w:t>
      </w:r>
      <w:r w:rsidR="00D25884">
        <w:rPr>
          <w:rFonts w:cstheme="minorHAnsi"/>
        </w:rPr>
        <w:t xml:space="preserve">14 </w:t>
      </w:r>
      <w:r w:rsidR="0073501E">
        <w:rPr>
          <w:rFonts w:cstheme="minorHAnsi"/>
        </w:rPr>
        <w:t xml:space="preserve">non-exempt </w:t>
      </w:r>
      <w:r w:rsidRPr="00176564">
        <w:rPr>
          <w:rFonts w:cstheme="minorHAnsi"/>
        </w:rPr>
        <w:t>ENA members would much appreciate the Commission’s urgent attention on the important issue</w:t>
      </w:r>
      <w:r w:rsidR="00D25884">
        <w:rPr>
          <w:rFonts w:cstheme="minorHAnsi"/>
        </w:rPr>
        <w:t>s</w:t>
      </w:r>
      <w:r w:rsidRPr="00176564">
        <w:rPr>
          <w:rFonts w:cstheme="minorHAnsi"/>
        </w:rPr>
        <w:t xml:space="preserve"> outlined in my letter.  </w:t>
      </w:r>
    </w:p>
    <w:p w14:paraId="4D43F518" w14:textId="54964087" w:rsidR="00D36975" w:rsidRDefault="00D36975" w:rsidP="00A63851">
      <w:pPr>
        <w:jc w:val="both"/>
      </w:pPr>
      <w:r>
        <w:t>I look forward to your response</w:t>
      </w:r>
      <w:r w:rsidR="00AF72D7">
        <w:t xml:space="preserve">, and </w:t>
      </w:r>
      <w:r w:rsidR="0026283F">
        <w:t xml:space="preserve">end with a </w:t>
      </w:r>
      <w:r w:rsidR="004F7251">
        <w:t xml:space="preserve">request </w:t>
      </w:r>
      <w:r w:rsidR="0026283F">
        <w:t xml:space="preserve">to </w:t>
      </w:r>
      <w:r w:rsidR="004F7251">
        <w:t xml:space="preserve">meet </w:t>
      </w:r>
      <w:r w:rsidR="0026283F">
        <w:t xml:space="preserve">to discuss our concerns </w:t>
      </w:r>
      <w:r w:rsidR="004F7251">
        <w:t>at the earliest opportunity</w:t>
      </w:r>
      <w:r>
        <w:t>.</w:t>
      </w:r>
    </w:p>
    <w:p w14:paraId="23364B38" w14:textId="77777777" w:rsidR="0026283F" w:rsidRDefault="0026283F" w:rsidP="00A63851">
      <w:pPr>
        <w:jc w:val="both"/>
      </w:pPr>
    </w:p>
    <w:p w14:paraId="13A7DF17" w14:textId="0BB12A86" w:rsidR="00AC02BB" w:rsidRPr="00C116AB" w:rsidRDefault="00AD229D" w:rsidP="00AC02BB">
      <w:pPr>
        <w:rPr>
          <w:rFonts w:ascii="Calibri" w:hAnsi="Calibri" w:cs="Calibri"/>
          <w:b/>
          <w:bCs/>
        </w:rPr>
      </w:pPr>
      <w:r w:rsidRPr="00C116AB">
        <w:rPr>
          <w:rFonts w:ascii="Calibri" w:hAnsi="Calibri" w:cs="Calibri"/>
          <w:b/>
          <w:bCs/>
        </w:rPr>
        <w:lastRenderedPageBreak/>
        <w:t>R</w:t>
      </w:r>
      <w:r w:rsidR="00AC02BB" w:rsidRPr="00C116AB">
        <w:rPr>
          <w:rFonts w:ascii="Calibri" w:hAnsi="Calibri" w:cs="Calibri"/>
          <w:b/>
          <w:bCs/>
        </w:rPr>
        <w:t>egards</w:t>
      </w:r>
    </w:p>
    <w:p w14:paraId="25FDA693" w14:textId="77777777" w:rsidR="00004D97" w:rsidRDefault="00004D97" w:rsidP="00AC02BB">
      <w:pPr>
        <w:rPr>
          <w:rFonts w:ascii="Calibri" w:hAnsi="Calibri" w:cs="Calibri"/>
          <w:b/>
          <w:bCs/>
        </w:rPr>
      </w:pPr>
    </w:p>
    <w:p w14:paraId="13286E5E" w14:textId="49806724" w:rsidR="00004D97" w:rsidRDefault="00242F0C" w:rsidP="00AC02BB">
      <w:pPr>
        <w:rPr>
          <w:rFonts w:ascii="Calibri" w:hAnsi="Calibri" w:cs="Calibri"/>
          <w:b/>
          <w:bCs/>
        </w:rPr>
      </w:pPr>
      <w:r>
        <w:rPr>
          <w:noProof/>
        </w:rPr>
        <w:drawing>
          <wp:inline distT="0" distB="0" distL="0" distR="0" wp14:anchorId="27770356" wp14:editId="0550960C">
            <wp:extent cx="1357553" cy="1619250"/>
            <wp:effectExtent l="0" t="0" r="0" b="0"/>
            <wp:docPr id="1" name="Picture 1" descr="Graeme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eme signatu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398" cy="1622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17D7DA" w14:textId="0303D162" w:rsidR="00242F0C" w:rsidRPr="00C116AB" w:rsidRDefault="007058F2" w:rsidP="00AC02BB">
      <w:pPr>
        <w:rPr>
          <w:rFonts w:ascii="Calibri" w:hAnsi="Calibri" w:cs="Calibri"/>
          <w:b/>
          <w:bCs/>
        </w:rPr>
      </w:pPr>
      <w:r w:rsidRPr="00C116AB">
        <w:rPr>
          <w:rFonts w:ascii="Calibri" w:hAnsi="Calibri" w:cs="Calibri"/>
          <w:b/>
          <w:bCs/>
        </w:rPr>
        <w:t>Graeme Peters</w:t>
      </w:r>
      <w:r w:rsidR="00242F0C">
        <w:rPr>
          <w:rFonts w:ascii="Calibri" w:hAnsi="Calibri" w:cs="Calibri"/>
          <w:b/>
          <w:bCs/>
        </w:rPr>
        <w:br/>
      </w:r>
      <w:r w:rsidR="00AC02BB" w:rsidRPr="00C116AB">
        <w:rPr>
          <w:rFonts w:ascii="Calibri" w:hAnsi="Calibri" w:cs="Calibri"/>
          <w:b/>
          <w:bCs/>
        </w:rPr>
        <w:t>Ch</w:t>
      </w:r>
      <w:r w:rsidRPr="00C116AB">
        <w:rPr>
          <w:rFonts w:ascii="Calibri" w:hAnsi="Calibri" w:cs="Calibri"/>
          <w:b/>
          <w:bCs/>
        </w:rPr>
        <w:t>ief Executive</w:t>
      </w:r>
      <w:r w:rsidR="00242F0C">
        <w:rPr>
          <w:rFonts w:ascii="Calibri" w:hAnsi="Calibri" w:cs="Calibri"/>
          <w:b/>
          <w:bCs/>
        </w:rPr>
        <w:br/>
        <w:t>027 66 77 400</w:t>
      </w:r>
    </w:p>
    <w:sectPr w:rsidR="00242F0C" w:rsidRPr="00C116AB" w:rsidSect="0049554E">
      <w:footerReference w:type="default" r:id="rId12"/>
      <w:headerReference w:type="first" r:id="rId13"/>
      <w:footerReference w:type="first" r:id="rId14"/>
      <w:pgSz w:w="11900" w:h="16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BD36E" w14:textId="77777777" w:rsidR="00116D0D" w:rsidRDefault="00116D0D" w:rsidP="00CF7C9E">
      <w:r>
        <w:separator/>
      </w:r>
    </w:p>
  </w:endnote>
  <w:endnote w:type="continuationSeparator" w:id="0">
    <w:p w14:paraId="0243CA82" w14:textId="77777777" w:rsidR="00116D0D" w:rsidRDefault="00116D0D" w:rsidP="00CF7C9E">
      <w:r>
        <w:continuationSeparator/>
      </w:r>
    </w:p>
  </w:endnote>
  <w:endnote w:type="continuationNotice" w:id="1">
    <w:p w14:paraId="4EFAD9D8" w14:textId="77777777" w:rsidR="00BD7E1C" w:rsidRDefault="00BD7E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A4272" w14:textId="77777777" w:rsidR="0049554E" w:rsidRDefault="0049554E">
    <w:r>
      <w:rPr>
        <w:noProof/>
      </w:rPr>
      <w:drawing>
        <wp:anchor distT="0" distB="0" distL="114300" distR="114300" simplePos="0" relativeHeight="251658242" behindDoc="1" locked="0" layoutInCell="1" allowOverlap="1" wp14:anchorId="3A2E8ACC" wp14:editId="268F87F5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90000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962 ENA L-head footer w-ur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928D" w14:textId="77777777" w:rsidR="00B25FE8" w:rsidRDefault="0049554E">
    <w:r>
      <w:rPr>
        <w:noProof/>
      </w:rPr>
      <w:drawing>
        <wp:anchor distT="0" distB="0" distL="114300" distR="114300" simplePos="0" relativeHeight="251658241" behindDoc="1" locked="0" layoutInCell="1" allowOverlap="1" wp14:anchorId="1950C934" wp14:editId="4B43896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9000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962 ENA L-head footer w-ur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84D70" w14:textId="77777777" w:rsidR="00116D0D" w:rsidRDefault="00116D0D" w:rsidP="00CF7C9E">
      <w:r>
        <w:separator/>
      </w:r>
    </w:p>
  </w:footnote>
  <w:footnote w:type="continuationSeparator" w:id="0">
    <w:p w14:paraId="319DA346" w14:textId="77777777" w:rsidR="00116D0D" w:rsidRDefault="00116D0D" w:rsidP="00CF7C9E">
      <w:r>
        <w:continuationSeparator/>
      </w:r>
    </w:p>
  </w:footnote>
  <w:footnote w:type="continuationNotice" w:id="1">
    <w:p w14:paraId="2CBE7183" w14:textId="77777777" w:rsidR="00BD7E1C" w:rsidRDefault="00BD7E1C">
      <w:pPr>
        <w:spacing w:after="0" w:line="240" w:lineRule="auto"/>
      </w:pPr>
    </w:p>
  </w:footnote>
  <w:footnote w:id="2">
    <w:p w14:paraId="179F576D" w14:textId="6A8684A5" w:rsidR="0056692F" w:rsidRPr="0056692F" w:rsidRDefault="0056692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004D97">
        <w:rPr>
          <w:sz w:val="16"/>
          <w:szCs w:val="16"/>
          <w:lang w:val="en-US"/>
        </w:rPr>
        <w:t>Powerco, Orion, Network Tasman</w:t>
      </w:r>
    </w:p>
  </w:footnote>
  <w:footnote w:id="3">
    <w:p w14:paraId="7A2017F1" w14:textId="7FCC2415" w:rsidR="00E50A50" w:rsidRPr="00004D97" w:rsidRDefault="00E50A50">
      <w:pPr>
        <w:pStyle w:val="FootnoteText"/>
        <w:rPr>
          <w:rFonts w:cstheme="minorHAnsi"/>
          <w:sz w:val="16"/>
          <w:szCs w:val="16"/>
          <w:lang w:val="en-US"/>
        </w:rPr>
      </w:pPr>
      <w:r w:rsidRPr="00004D97">
        <w:rPr>
          <w:rStyle w:val="FootnoteReference"/>
          <w:sz w:val="16"/>
          <w:szCs w:val="16"/>
        </w:rPr>
        <w:footnoteRef/>
      </w:r>
      <w:r w:rsidRPr="00004D97">
        <w:rPr>
          <w:sz w:val="16"/>
          <w:szCs w:val="16"/>
        </w:rPr>
        <w:t xml:space="preserve"> </w:t>
      </w:r>
      <w:hyperlink r:id="rId1" w:history="1">
        <w:r w:rsidR="001620DB" w:rsidRPr="00004D97">
          <w:rPr>
            <w:rStyle w:val="Hyperlink"/>
            <w:rFonts w:cstheme="minorHAnsi"/>
            <w:sz w:val="16"/>
            <w:szCs w:val="16"/>
            <w:lang w:val="en-US"/>
          </w:rPr>
          <w:t xml:space="preserve">Electricity Networks Association, </w:t>
        </w:r>
        <w:r w:rsidR="001620DB" w:rsidRPr="00004D97">
          <w:rPr>
            <w:rStyle w:val="Hyperlink"/>
            <w:rFonts w:cstheme="minorHAnsi"/>
            <w:sz w:val="16"/>
            <w:szCs w:val="16"/>
          </w:rPr>
          <w:t>2020 DPP draft Decision submissions-cross submissions</w:t>
        </w:r>
        <w:r w:rsidR="007E5A14" w:rsidRPr="00004D97">
          <w:rPr>
            <w:rStyle w:val="Hyperlink"/>
            <w:rFonts w:cstheme="minorHAnsi"/>
            <w:sz w:val="16"/>
            <w:szCs w:val="16"/>
          </w:rPr>
          <w:t>, p4</w:t>
        </w:r>
        <w:r w:rsidR="001620DB" w:rsidRPr="00004D97">
          <w:rPr>
            <w:rStyle w:val="Hyperlink"/>
            <w:rFonts w:cstheme="minorHAnsi"/>
            <w:sz w:val="16"/>
            <w:szCs w:val="16"/>
          </w:rPr>
          <w:t>.</w:t>
        </w:r>
      </w:hyperlink>
    </w:p>
  </w:footnote>
  <w:footnote w:id="4">
    <w:p w14:paraId="21258A4A" w14:textId="4274EAC4" w:rsidR="0065709C" w:rsidRPr="00004D97" w:rsidRDefault="0065709C">
      <w:pPr>
        <w:pStyle w:val="FootnoteText"/>
        <w:rPr>
          <w:sz w:val="16"/>
          <w:szCs w:val="16"/>
          <w:lang w:val="en-US"/>
        </w:rPr>
      </w:pPr>
      <w:r w:rsidRPr="00004D97">
        <w:rPr>
          <w:rStyle w:val="FootnoteReference"/>
          <w:sz w:val="16"/>
          <w:szCs w:val="16"/>
        </w:rPr>
        <w:footnoteRef/>
      </w:r>
      <w:r w:rsidRPr="00004D97">
        <w:rPr>
          <w:sz w:val="16"/>
          <w:szCs w:val="16"/>
        </w:rPr>
        <w:t xml:space="preserve"> </w:t>
      </w:r>
      <w:hyperlink r:id="rId2" w:history="1">
        <w:r w:rsidRPr="00004D97">
          <w:rPr>
            <w:rStyle w:val="Hyperlink"/>
            <w:sz w:val="16"/>
            <w:szCs w:val="16"/>
            <w:lang w:val="en-US"/>
          </w:rPr>
          <w:t>Commerce Act 1986</w:t>
        </w:r>
        <w:r w:rsidR="000C53B0" w:rsidRPr="00004D97">
          <w:rPr>
            <w:rStyle w:val="Hyperlink"/>
            <w:sz w:val="16"/>
            <w:szCs w:val="16"/>
            <w:lang w:val="en-US"/>
          </w:rPr>
          <w:t xml:space="preserve">, </w:t>
        </w:r>
        <w:r w:rsidR="004250FA" w:rsidRPr="00004D97">
          <w:rPr>
            <w:rStyle w:val="Hyperlink"/>
            <w:sz w:val="16"/>
            <w:szCs w:val="16"/>
            <w:lang w:val="en-US"/>
          </w:rPr>
          <w:t>52A</w:t>
        </w:r>
      </w:hyperlink>
      <w:r w:rsidR="000C53B0" w:rsidRPr="00004D97">
        <w:rPr>
          <w:sz w:val="16"/>
          <w:szCs w:val="16"/>
          <w:lang w:val="en-US"/>
        </w:rPr>
        <w:t xml:space="preserve"> </w:t>
      </w:r>
    </w:p>
  </w:footnote>
  <w:footnote w:id="5">
    <w:p w14:paraId="5DD33AE7" w14:textId="6C0B4543" w:rsidR="00921043" w:rsidRPr="00004D97" w:rsidRDefault="00921043">
      <w:pPr>
        <w:pStyle w:val="FootnoteText"/>
        <w:rPr>
          <w:rFonts w:cstheme="minorHAnsi"/>
          <w:sz w:val="16"/>
          <w:szCs w:val="16"/>
          <w:lang w:val="en-US"/>
        </w:rPr>
      </w:pPr>
      <w:r w:rsidRPr="00004D97">
        <w:rPr>
          <w:rStyle w:val="FootnoteReference"/>
          <w:rFonts w:cstheme="minorHAnsi"/>
          <w:sz w:val="16"/>
          <w:szCs w:val="16"/>
        </w:rPr>
        <w:footnoteRef/>
      </w:r>
      <w:r w:rsidRPr="00004D97">
        <w:rPr>
          <w:rFonts w:cstheme="minorHAnsi"/>
          <w:sz w:val="16"/>
          <w:szCs w:val="16"/>
        </w:rPr>
        <w:t xml:space="preserve"> </w:t>
      </w:r>
      <w:hyperlink r:id="rId3" w:history="1">
        <w:r w:rsidR="00C6206F" w:rsidRPr="00004D97">
          <w:rPr>
            <w:rStyle w:val="Hyperlink"/>
            <w:rFonts w:cstheme="minorHAnsi"/>
            <w:sz w:val="16"/>
            <w:szCs w:val="16"/>
            <w:lang w:val="en-US"/>
          </w:rPr>
          <w:t xml:space="preserve">Competition Economists Group, </w:t>
        </w:r>
        <w:r w:rsidR="00C6206F" w:rsidRPr="00004D97">
          <w:rPr>
            <w:rStyle w:val="Hyperlink"/>
            <w:rFonts w:cstheme="minorHAnsi"/>
            <w:sz w:val="16"/>
            <w:szCs w:val="16"/>
          </w:rPr>
          <w:t>Dealing with</w:t>
        </w:r>
        <w:r w:rsidR="00215224" w:rsidRPr="00004D97">
          <w:rPr>
            <w:rStyle w:val="Hyperlink"/>
            <w:rFonts w:cstheme="minorHAnsi"/>
            <w:sz w:val="16"/>
            <w:szCs w:val="16"/>
          </w:rPr>
          <w:t xml:space="preserve"> </w:t>
        </w:r>
        <w:r w:rsidR="00C6206F" w:rsidRPr="00004D97">
          <w:rPr>
            <w:rStyle w:val="Hyperlink"/>
            <w:rFonts w:cstheme="minorHAnsi"/>
            <w:sz w:val="16"/>
            <w:szCs w:val="16"/>
          </w:rPr>
          <w:t xml:space="preserve">negative real risk-free rates, </w:t>
        </w:r>
        <w:r w:rsidR="00EF60D7" w:rsidRPr="00004D97">
          <w:rPr>
            <w:rStyle w:val="Hyperlink"/>
            <w:rFonts w:cstheme="minorHAnsi"/>
            <w:sz w:val="16"/>
            <w:szCs w:val="16"/>
          </w:rPr>
          <w:t xml:space="preserve">July 2019, </w:t>
        </w:r>
        <w:r w:rsidR="00215A83" w:rsidRPr="00004D97">
          <w:rPr>
            <w:rStyle w:val="Hyperlink"/>
            <w:rFonts w:cstheme="minorHAnsi"/>
            <w:sz w:val="16"/>
            <w:szCs w:val="16"/>
          </w:rPr>
          <w:t>p38</w:t>
        </w:r>
      </w:hyperlink>
    </w:p>
  </w:footnote>
  <w:footnote w:id="6">
    <w:p w14:paraId="742D756B" w14:textId="076D1D92" w:rsidR="00AC02BB" w:rsidRPr="00004D97" w:rsidRDefault="00AC02BB" w:rsidP="00AC02BB">
      <w:pPr>
        <w:pStyle w:val="FootnoteText"/>
        <w:ind w:left="720" w:hanging="720"/>
        <w:rPr>
          <w:sz w:val="16"/>
          <w:szCs w:val="16"/>
        </w:rPr>
      </w:pPr>
      <w:r w:rsidRPr="00004D97">
        <w:rPr>
          <w:rStyle w:val="FootnoteReference"/>
          <w:rFonts w:cstheme="minorHAnsi"/>
          <w:sz w:val="16"/>
          <w:szCs w:val="16"/>
        </w:rPr>
        <w:footnoteRef/>
      </w:r>
      <w:r w:rsidRPr="00004D97">
        <w:rPr>
          <w:rFonts w:cstheme="minorHAnsi"/>
          <w:sz w:val="16"/>
          <w:szCs w:val="16"/>
        </w:rPr>
        <w:t xml:space="preserve">  In DPP2, a CPI forecast of 2% made up 27.8% of ROI (2/7.19), given expected bond rates, CPI of 2% would now make up 43% of returns (2/4.6), and more than 50% of returns to equity.</w:t>
      </w:r>
      <w:r w:rsidRPr="00004D97">
        <w:rPr>
          <w:sz w:val="16"/>
          <w:szCs w:val="16"/>
        </w:rPr>
        <w:t xml:space="preserve">  </w:t>
      </w:r>
    </w:p>
  </w:footnote>
  <w:footnote w:id="7">
    <w:p w14:paraId="457FC33E" w14:textId="001411D5" w:rsidR="00D80ADE" w:rsidRPr="00D80ADE" w:rsidRDefault="00D80ADE">
      <w:pPr>
        <w:pStyle w:val="FootnoteText"/>
        <w:rPr>
          <w:lang w:val="en-US"/>
        </w:rPr>
      </w:pPr>
      <w:r w:rsidRPr="00004D97">
        <w:rPr>
          <w:rStyle w:val="FootnoteReference"/>
          <w:sz w:val="16"/>
          <w:szCs w:val="16"/>
        </w:rPr>
        <w:footnoteRef/>
      </w:r>
      <w:r w:rsidRPr="00004D97">
        <w:rPr>
          <w:sz w:val="16"/>
          <w:szCs w:val="16"/>
        </w:rPr>
        <w:t xml:space="preserve"> </w:t>
      </w:r>
      <w:hyperlink r:id="rId4" w:history="1">
        <w:r w:rsidRPr="00004D97">
          <w:rPr>
            <w:rStyle w:val="Hyperlink"/>
            <w:sz w:val="16"/>
            <w:szCs w:val="16"/>
            <w:lang w:val="en-US"/>
          </w:rPr>
          <w:t>Reserve Bank of New Zealand, Monetary Policy Statement, August 2019,</w:t>
        </w:r>
        <w:r w:rsidR="0032419B" w:rsidRPr="00004D97">
          <w:rPr>
            <w:rStyle w:val="Hyperlink"/>
            <w:sz w:val="16"/>
            <w:szCs w:val="16"/>
            <w:lang w:val="en-US"/>
          </w:rPr>
          <w:t>p34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E1B48" w14:textId="77777777" w:rsidR="00110FF7" w:rsidRDefault="00B25FE8">
    <w:r>
      <w:rPr>
        <w:noProof/>
      </w:rPr>
      <w:drawing>
        <wp:anchor distT="0" distB="0" distL="114300" distR="114300" simplePos="0" relativeHeight="251658240" behindDoc="0" locked="0" layoutInCell="1" allowOverlap="1" wp14:anchorId="6B5F7F4B" wp14:editId="49A3506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2700000"/>
          <wp:effectExtent l="0" t="0" r="952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8962 ENA L-head 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7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A41"/>
    <w:multiLevelType w:val="hybridMultilevel"/>
    <w:tmpl w:val="974015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E040E"/>
    <w:multiLevelType w:val="hybridMultilevel"/>
    <w:tmpl w:val="40883310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05FDB"/>
    <w:multiLevelType w:val="hybridMultilevel"/>
    <w:tmpl w:val="39EC76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52F7C"/>
    <w:multiLevelType w:val="hybridMultilevel"/>
    <w:tmpl w:val="EF4245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E5"/>
    <w:rsid w:val="00004D97"/>
    <w:rsid w:val="00050078"/>
    <w:rsid w:val="00075DD3"/>
    <w:rsid w:val="00097822"/>
    <w:rsid w:val="000C469E"/>
    <w:rsid w:val="000C53B0"/>
    <w:rsid w:val="000D52FE"/>
    <w:rsid w:val="000F263F"/>
    <w:rsid w:val="000F7510"/>
    <w:rsid w:val="0010136C"/>
    <w:rsid w:val="00110FF7"/>
    <w:rsid w:val="00116D0D"/>
    <w:rsid w:val="00160059"/>
    <w:rsid w:val="001620DB"/>
    <w:rsid w:val="0017050C"/>
    <w:rsid w:val="00176564"/>
    <w:rsid w:val="00190943"/>
    <w:rsid w:val="001930F4"/>
    <w:rsid w:val="001A659C"/>
    <w:rsid w:val="001D371F"/>
    <w:rsid w:val="001E0F85"/>
    <w:rsid w:val="001E5E0C"/>
    <w:rsid w:val="001E7638"/>
    <w:rsid w:val="0021396B"/>
    <w:rsid w:val="00215224"/>
    <w:rsid w:val="00215A83"/>
    <w:rsid w:val="00225DA1"/>
    <w:rsid w:val="002277E8"/>
    <w:rsid w:val="00242F0C"/>
    <w:rsid w:val="002432F9"/>
    <w:rsid w:val="00243C7C"/>
    <w:rsid w:val="002563E5"/>
    <w:rsid w:val="002627DC"/>
    <w:rsid w:val="0026283F"/>
    <w:rsid w:val="00274A9A"/>
    <w:rsid w:val="002C1401"/>
    <w:rsid w:val="002C68CB"/>
    <w:rsid w:val="002C712B"/>
    <w:rsid w:val="002D13AA"/>
    <w:rsid w:val="002E657B"/>
    <w:rsid w:val="002E69C9"/>
    <w:rsid w:val="002F13F4"/>
    <w:rsid w:val="00303AC5"/>
    <w:rsid w:val="00305372"/>
    <w:rsid w:val="003148E9"/>
    <w:rsid w:val="0032419B"/>
    <w:rsid w:val="00350C0F"/>
    <w:rsid w:val="00376B12"/>
    <w:rsid w:val="003B5113"/>
    <w:rsid w:val="003E17F1"/>
    <w:rsid w:val="003E51C5"/>
    <w:rsid w:val="003E6F20"/>
    <w:rsid w:val="003E7C21"/>
    <w:rsid w:val="003F77B9"/>
    <w:rsid w:val="004203D6"/>
    <w:rsid w:val="004250FA"/>
    <w:rsid w:val="004337D3"/>
    <w:rsid w:val="00443BCD"/>
    <w:rsid w:val="00450501"/>
    <w:rsid w:val="0046302A"/>
    <w:rsid w:val="00486F10"/>
    <w:rsid w:val="00487D24"/>
    <w:rsid w:val="0049554E"/>
    <w:rsid w:val="00495EA3"/>
    <w:rsid w:val="004B020B"/>
    <w:rsid w:val="004C11DD"/>
    <w:rsid w:val="004E468C"/>
    <w:rsid w:val="004F7251"/>
    <w:rsid w:val="005048D4"/>
    <w:rsid w:val="00504B4C"/>
    <w:rsid w:val="00562A4B"/>
    <w:rsid w:val="0056692F"/>
    <w:rsid w:val="00567C1C"/>
    <w:rsid w:val="005B213E"/>
    <w:rsid w:val="005B5A63"/>
    <w:rsid w:val="005D2CDF"/>
    <w:rsid w:val="005D76B3"/>
    <w:rsid w:val="005E06CA"/>
    <w:rsid w:val="005E0750"/>
    <w:rsid w:val="005E246C"/>
    <w:rsid w:val="005E6365"/>
    <w:rsid w:val="005F3402"/>
    <w:rsid w:val="00603ABF"/>
    <w:rsid w:val="00604C0E"/>
    <w:rsid w:val="00624348"/>
    <w:rsid w:val="006338E9"/>
    <w:rsid w:val="00636B6D"/>
    <w:rsid w:val="00636CF1"/>
    <w:rsid w:val="0065709C"/>
    <w:rsid w:val="00676037"/>
    <w:rsid w:val="00680B38"/>
    <w:rsid w:val="00680BCE"/>
    <w:rsid w:val="0068195C"/>
    <w:rsid w:val="0069167B"/>
    <w:rsid w:val="006A3A2C"/>
    <w:rsid w:val="006C0F1F"/>
    <w:rsid w:val="006C21D0"/>
    <w:rsid w:val="006C3839"/>
    <w:rsid w:val="006E5C80"/>
    <w:rsid w:val="006E71B0"/>
    <w:rsid w:val="007058F2"/>
    <w:rsid w:val="00706501"/>
    <w:rsid w:val="0073437A"/>
    <w:rsid w:val="0073501E"/>
    <w:rsid w:val="007419F6"/>
    <w:rsid w:val="007432B3"/>
    <w:rsid w:val="0074787A"/>
    <w:rsid w:val="0075254F"/>
    <w:rsid w:val="00777542"/>
    <w:rsid w:val="0079141D"/>
    <w:rsid w:val="007A0C10"/>
    <w:rsid w:val="007A3F66"/>
    <w:rsid w:val="007A5634"/>
    <w:rsid w:val="007E5A14"/>
    <w:rsid w:val="007F031B"/>
    <w:rsid w:val="00843493"/>
    <w:rsid w:val="00846690"/>
    <w:rsid w:val="0086288F"/>
    <w:rsid w:val="00863069"/>
    <w:rsid w:val="00863EDA"/>
    <w:rsid w:val="008B18F2"/>
    <w:rsid w:val="008B19D7"/>
    <w:rsid w:val="008B67FB"/>
    <w:rsid w:val="008C059C"/>
    <w:rsid w:val="008C5E4B"/>
    <w:rsid w:val="0090332B"/>
    <w:rsid w:val="00921043"/>
    <w:rsid w:val="00937BD7"/>
    <w:rsid w:val="00977347"/>
    <w:rsid w:val="00982657"/>
    <w:rsid w:val="00985257"/>
    <w:rsid w:val="00990A40"/>
    <w:rsid w:val="00991514"/>
    <w:rsid w:val="0099163A"/>
    <w:rsid w:val="009A2DF3"/>
    <w:rsid w:val="009B142B"/>
    <w:rsid w:val="009C1E07"/>
    <w:rsid w:val="009E4764"/>
    <w:rsid w:val="00A02823"/>
    <w:rsid w:val="00A13F18"/>
    <w:rsid w:val="00A232B6"/>
    <w:rsid w:val="00A30411"/>
    <w:rsid w:val="00A33CDF"/>
    <w:rsid w:val="00A44F28"/>
    <w:rsid w:val="00A63851"/>
    <w:rsid w:val="00A9501F"/>
    <w:rsid w:val="00AA1295"/>
    <w:rsid w:val="00AB1335"/>
    <w:rsid w:val="00AC02BB"/>
    <w:rsid w:val="00AD229D"/>
    <w:rsid w:val="00AF5280"/>
    <w:rsid w:val="00AF72D7"/>
    <w:rsid w:val="00B1358F"/>
    <w:rsid w:val="00B25FE8"/>
    <w:rsid w:val="00B41EAB"/>
    <w:rsid w:val="00B46F52"/>
    <w:rsid w:val="00B56A98"/>
    <w:rsid w:val="00B86957"/>
    <w:rsid w:val="00BB6DCE"/>
    <w:rsid w:val="00BB766A"/>
    <w:rsid w:val="00BB7859"/>
    <w:rsid w:val="00BC0A15"/>
    <w:rsid w:val="00BC55A6"/>
    <w:rsid w:val="00BD5961"/>
    <w:rsid w:val="00BD7E1C"/>
    <w:rsid w:val="00BF5C59"/>
    <w:rsid w:val="00C116AB"/>
    <w:rsid w:val="00C17236"/>
    <w:rsid w:val="00C20087"/>
    <w:rsid w:val="00C27F3C"/>
    <w:rsid w:val="00C32E28"/>
    <w:rsid w:val="00C35EE3"/>
    <w:rsid w:val="00C6206F"/>
    <w:rsid w:val="00C63EBC"/>
    <w:rsid w:val="00C70EF9"/>
    <w:rsid w:val="00CB02B7"/>
    <w:rsid w:val="00CB09E0"/>
    <w:rsid w:val="00CC63E1"/>
    <w:rsid w:val="00CD20D8"/>
    <w:rsid w:val="00CE08E6"/>
    <w:rsid w:val="00CE2F22"/>
    <w:rsid w:val="00CE6404"/>
    <w:rsid w:val="00CF7736"/>
    <w:rsid w:val="00CF7C9E"/>
    <w:rsid w:val="00D126CD"/>
    <w:rsid w:val="00D25884"/>
    <w:rsid w:val="00D36975"/>
    <w:rsid w:val="00D45C30"/>
    <w:rsid w:val="00D57C27"/>
    <w:rsid w:val="00D600A0"/>
    <w:rsid w:val="00D70AAF"/>
    <w:rsid w:val="00D80ADE"/>
    <w:rsid w:val="00D83C46"/>
    <w:rsid w:val="00D90C53"/>
    <w:rsid w:val="00DA099D"/>
    <w:rsid w:val="00DA20BF"/>
    <w:rsid w:val="00DA3589"/>
    <w:rsid w:val="00DD6B89"/>
    <w:rsid w:val="00E05CD6"/>
    <w:rsid w:val="00E240E4"/>
    <w:rsid w:val="00E24469"/>
    <w:rsid w:val="00E50A50"/>
    <w:rsid w:val="00E67775"/>
    <w:rsid w:val="00E766E1"/>
    <w:rsid w:val="00E8752B"/>
    <w:rsid w:val="00EA64FD"/>
    <w:rsid w:val="00EB3BCB"/>
    <w:rsid w:val="00ED7E2E"/>
    <w:rsid w:val="00EF60D7"/>
    <w:rsid w:val="00F02A94"/>
    <w:rsid w:val="00F04E39"/>
    <w:rsid w:val="00F06B35"/>
    <w:rsid w:val="00F36D5C"/>
    <w:rsid w:val="00F47DA1"/>
    <w:rsid w:val="00F857EC"/>
    <w:rsid w:val="00FA0ABB"/>
    <w:rsid w:val="00FB15E9"/>
    <w:rsid w:val="00FC17C8"/>
    <w:rsid w:val="00FC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3C98D4"/>
  <w15:chartTrackingRefBased/>
  <w15:docId w15:val="{936241D3-3E2B-4449-8514-36E5B867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02BB"/>
    <w:pPr>
      <w:spacing w:after="200" w:line="276" w:lineRule="auto"/>
    </w:pPr>
    <w:rPr>
      <w:sz w:val="22"/>
      <w:szCs w:val="22"/>
      <w:lang w:val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554E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54E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54E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54E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9554E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54E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54E"/>
    <w:pPr>
      <w:numPr>
        <w:ilvl w:val="1"/>
      </w:numPr>
      <w:spacing w:after="160"/>
    </w:pPr>
    <w:rPr>
      <w:rFonts w:ascii="Arial" w:eastAsiaTheme="minorEastAsia" w:hAnsi="Arial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554E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AC02B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C02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02BB"/>
    <w:rPr>
      <w:sz w:val="20"/>
      <w:szCs w:val="20"/>
      <w:lang w:val="en-NZ"/>
    </w:rPr>
  </w:style>
  <w:style w:type="character" w:styleId="FootnoteReference">
    <w:name w:val="footnote reference"/>
    <w:basedOn w:val="DefaultParagraphFont"/>
    <w:uiPriority w:val="99"/>
    <w:semiHidden/>
    <w:unhideWhenUsed/>
    <w:rsid w:val="00AC02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67C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C1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13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F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F18"/>
    <w:rPr>
      <w:sz w:val="20"/>
      <w:szCs w:val="20"/>
      <w:lang w:val="en-N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F18"/>
    <w:rPr>
      <w:b/>
      <w:bCs/>
      <w:sz w:val="20"/>
      <w:szCs w:val="20"/>
      <w:lang w:val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18"/>
    <w:rPr>
      <w:rFonts w:ascii="Segoe UI" w:hAnsi="Segoe UI" w:cs="Segoe UI"/>
      <w:sz w:val="18"/>
      <w:szCs w:val="18"/>
      <w:lang w:val="en-NZ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C11D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C11DD"/>
    <w:rPr>
      <w:rFonts w:ascii="Calibri" w:hAnsi="Calibri"/>
      <w:sz w:val="22"/>
      <w:szCs w:val="21"/>
      <w:lang w:val="en-NZ"/>
    </w:rPr>
  </w:style>
  <w:style w:type="paragraph" w:styleId="NormalWeb">
    <w:name w:val="Normal (Web)"/>
    <w:basedOn w:val="Normal"/>
    <w:uiPriority w:val="99"/>
    <w:unhideWhenUsed/>
    <w:rsid w:val="00846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semiHidden/>
    <w:unhideWhenUsed/>
    <w:rsid w:val="00BD7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7E1C"/>
    <w:rPr>
      <w:sz w:val="22"/>
      <w:szCs w:val="22"/>
      <w:lang w:val="en-NZ"/>
    </w:rPr>
  </w:style>
  <w:style w:type="paragraph" w:styleId="Footer">
    <w:name w:val="footer"/>
    <w:basedOn w:val="Normal"/>
    <w:link w:val="FooterChar"/>
    <w:uiPriority w:val="99"/>
    <w:semiHidden/>
    <w:unhideWhenUsed/>
    <w:rsid w:val="00BD7E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7E1C"/>
    <w:rPr>
      <w:sz w:val="22"/>
      <w:szCs w:val="22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omcom.govt.nz/__data/assets/pdf_file/0017/160163/CEG-on-behalf-of-Vector-Submission-on-IM-amendments-for-DPP-and-IPP-5-July-2019.pdf" TargetMode="External"/><Relationship Id="rId2" Type="http://schemas.openxmlformats.org/officeDocument/2006/relationships/hyperlink" Target="http://www.legislation.govt.nz/act/public/1986/0005/73.0/DLM1685404.html" TargetMode="External"/><Relationship Id="rId1" Type="http://schemas.openxmlformats.org/officeDocument/2006/relationships/hyperlink" Target="https://comcom.govt.nz/__data/assets/pdf_file/0030/166692/ENA-Cross-submission-on-EDB-DPP-reset-draft-decision-paper-12-August-2019.pdf" TargetMode="External"/><Relationship Id="rId4" Type="http://schemas.openxmlformats.org/officeDocument/2006/relationships/hyperlink" Target="https://www.rbnz.govt.nz/-/media/ReserveBank/Files/Publications/Monetary%20policy%20statements/2019/mpsaugust19.pdf?revision=be0696fb-8045-4d7a-8710-f83fe5c5436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E0863CD57E6D47B0B1CFFB1F9740CE" ma:contentTypeVersion="12" ma:contentTypeDescription="Create a new document." ma:contentTypeScope="" ma:versionID="f561af4349434bbca4de5fc662d8afa7">
  <xsd:schema xmlns:xsd="http://www.w3.org/2001/XMLSchema" xmlns:xs="http://www.w3.org/2001/XMLSchema" xmlns:p="http://schemas.microsoft.com/office/2006/metadata/properties" xmlns:ns2="7645e92a-84c4-43bd-ba36-6aee51e492f8" xmlns:ns3="b927b942-c692-4c06-894f-a54091052a82" targetNamespace="http://schemas.microsoft.com/office/2006/metadata/properties" ma:root="true" ma:fieldsID="949cf9182db700793c98d16a3c766069" ns2:_="" ns3:_="">
    <xsd:import namespace="7645e92a-84c4-43bd-ba36-6aee51e492f8"/>
    <xsd:import namespace="b927b942-c692-4c06-894f-a54091052a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5e92a-84c4-43bd-ba36-6aee51e492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7b942-c692-4c06-894f-a54091052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D5055-DBE7-40BC-9E52-BEB395A63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485E3D-57EE-4A9B-8AEB-5EFF2D7B4C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C5DDC1-1FCC-49BC-9CA3-D86425614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5e92a-84c4-43bd-ba36-6aee51e492f8"/>
    <ds:schemaRef ds:uri="b927b942-c692-4c06-894f-a54091052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9C3E57-8903-4085-83F3-97475967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J Peters</dc:creator>
  <cp:keywords/>
  <dc:description/>
  <cp:lastModifiedBy>Graeme J Peters</cp:lastModifiedBy>
  <cp:revision>89</cp:revision>
  <cp:lastPrinted>2019-09-04T20:41:00Z</cp:lastPrinted>
  <dcterms:created xsi:type="dcterms:W3CDTF">2019-09-03T20:40:00Z</dcterms:created>
  <dcterms:modified xsi:type="dcterms:W3CDTF">2019-09-04T21:54:00Z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0x0101002BE0863CD57E6D47B0B1CFFB1F9740CE</vt:lpwstr>
  </property>
</Properties>
</file>