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F70CE" w14:textId="0C3DD0A4" w:rsidR="004368A1" w:rsidRPr="003E7F38" w:rsidRDefault="004F3C15" w:rsidP="004368A1">
      <w:pPr>
        <w:spacing w:after="200" w:line="276" w:lineRule="auto"/>
        <w:rPr>
          <w:rFonts w:cstheme="minorHAnsi"/>
        </w:rPr>
      </w:pPr>
      <w:r w:rsidRPr="003E7F38">
        <w:rPr>
          <w:rFonts w:cstheme="minorHAnsi"/>
          <w:noProof/>
          <w:lang w:val="en-US"/>
        </w:rPr>
        <mc:AlternateContent>
          <mc:Choice Requires="wps">
            <w:drawing>
              <wp:anchor distT="0" distB="0" distL="114300" distR="114300" simplePos="0" relativeHeight="251659264" behindDoc="0" locked="0" layoutInCell="1" allowOverlap="1" wp14:anchorId="5FABF489" wp14:editId="376694CF">
                <wp:simplePos x="0" y="0"/>
                <wp:positionH relativeFrom="column">
                  <wp:posOffset>-272470</wp:posOffset>
                </wp:positionH>
                <wp:positionV relativeFrom="paragraph">
                  <wp:posOffset>4877490</wp:posOffset>
                </wp:positionV>
                <wp:extent cx="5969635" cy="31267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969635" cy="3126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97A4BA6" w14:textId="40C00329" w:rsidR="007317F2" w:rsidRPr="003E7F38" w:rsidRDefault="007317F2" w:rsidP="004368A1">
                            <w:pPr>
                              <w:pStyle w:val="Coverheading"/>
                              <w:rPr>
                                <w:rFonts w:ascii="Calibri" w:hAnsi="Calibri" w:cs="Calibri"/>
                              </w:rPr>
                            </w:pPr>
                            <w:r w:rsidRPr="003E7F38">
                              <w:rPr>
                                <w:rFonts w:ascii="Calibri" w:hAnsi="Calibri" w:cs="Calibri"/>
                              </w:rPr>
                              <w:t xml:space="preserve">Transmission pricing </w:t>
                            </w:r>
                            <w:r>
                              <w:rPr>
                                <w:rFonts w:ascii="Calibri" w:hAnsi="Calibri" w:cs="Calibri"/>
                              </w:rPr>
                              <w:t>review</w:t>
                            </w:r>
                          </w:p>
                          <w:p w14:paraId="1DA98DC5" w14:textId="256C38C7" w:rsidR="007317F2" w:rsidRPr="001077CF" w:rsidRDefault="007317F2" w:rsidP="004368A1">
                            <w:pPr>
                              <w:pStyle w:val="Coverheading"/>
                              <w:rPr>
                                <w:rFonts w:ascii="Calibri" w:hAnsi="Calibri" w:cs="Calibri"/>
                                <w:sz w:val="56"/>
                                <w:szCs w:val="20"/>
                              </w:rPr>
                            </w:pPr>
                            <w:r w:rsidRPr="001077CF">
                              <w:rPr>
                                <w:rFonts w:ascii="Calibri" w:hAnsi="Calibri" w:cs="Calibri"/>
                                <w:sz w:val="56"/>
                                <w:szCs w:val="20"/>
                              </w:rPr>
                              <w:t>2019 issues paper consultation</w:t>
                            </w:r>
                          </w:p>
                          <w:p w14:paraId="0CB07378" w14:textId="61884370" w:rsidR="007317F2" w:rsidRPr="003E7F38" w:rsidRDefault="005D02CB" w:rsidP="004368A1">
                            <w:pPr>
                              <w:pStyle w:val="Coverheading"/>
                              <w:rPr>
                                <w:rFonts w:ascii="Calibri" w:hAnsi="Calibri" w:cs="Calibri"/>
                                <w:color w:val="FF0000"/>
                                <w:sz w:val="40"/>
                              </w:rPr>
                            </w:pPr>
                            <w:r>
                              <w:rPr>
                                <w:rFonts w:ascii="Calibri" w:hAnsi="Calibri" w:cs="Calibri"/>
                                <w:color w:val="FF0000"/>
                                <w:sz w:val="40"/>
                              </w:rPr>
                              <w:t>Final</w:t>
                            </w:r>
                          </w:p>
                          <w:p w14:paraId="684A7F35" w14:textId="77777777" w:rsidR="007317F2" w:rsidRPr="003E7F38" w:rsidRDefault="007317F2" w:rsidP="004368A1">
                            <w:pPr>
                              <w:pStyle w:val="Coversubhead"/>
                              <w:rPr>
                                <w:rFonts w:ascii="Calibri" w:hAnsi="Calibri" w:cs="Calibri"/>
                              </w:rPr>
                            </w:pPr>
                            <w:r w:rsidRPr="003E7F38">
                              <w:rPr>
                                <w:rFonts w:ascii="Calibri" w:hAnsi="Calibri" w:cs="Calibri"/>
                              </w:rPr>
                              <w:t>Submission to the Electricity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BF489" id="_x0000_t202" coordsize="21600,21600" o:spt="202" path="m,l,21600r21600,l21600,xe">
                <v:stroke joinstyle="miter"/>
                <v:path gradientshapeok="t" o:connecttype="rect"/>
              </v:shapetype>
              <v:shape id="Text Box 5" o:spid="_x0000_s1026" type="#_x0000_t202" style="position:absolute;margin-left:-21.45pt;margin-top:384.05pt;width:470.05pt;height:2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" filled="f" stroked="f">
                <v:textbox>
                  <w:txbxContent>
                    <w:p w14:paraId="597A4BA6" w14:textId="40C00329" w:rsidR="007317F2" w:rsidRPr="003E7F38" w:rsidRDefault="007317F2" w:rsidP="004368A1">
                      <w:pPr>
                        <w:pStyle w:val="Coverheading"/>
                        <w:rPr>
                          <w:rFonts w:ascii="Calibri" w:hAnsi="Calibri" w:cs="Calibri"/>
                        </w:rPr>
                      </w:pPr>
                      <w:r w:rsidRPr="003E7F38">
                        <w:rPr>
                          <w:rFonts w:ascii="Calibri" w:hAnsi="Calibri" w:cs="Calibri"/>
                        </w:rPr>
                        <w:t xml:space="preserve">Transmission pricing </w:t>
                      </w:r>
                      <w:r>
                        <w:rPr>
                          <w:rFonts w:ascii="Calibri" w:hAnsi="Calibri" w:cs="Calibri"/>
                        </w:rPr>
                        <w:t>review</w:t>
                      </w:r>
                    </w:p>
                    <w:p w14:paraId="1DA98DC5" w14:textId="256C38C7" w:rsidR="007317F2" w:rsidRPr="001077CF" w:rsidRDefault="007317F2" w:rsidP="004368A1">
                      <w:pPr>
                        <w:pStyle w:val="Coverheading"/>
                        <w:rPr>
                          <w:rFonts w:ascii="Calibri" w:hAnsi="Calibri" w:cs="Calibri"/>
                          <w:sz w:val="56"/>
                          <w:szCs w:val="20"/>
                        </w:rPr>
                      </w:pPr>
                      <w:r w:rsidRPr="001077CF">
                        <w:rPr>
                          <w:rFonts w:ascii="Calibri" w:hAnsi="Calibri" w:cs="Calibri"/>
                          <w:sz w:val="56"/>
                          <w:szCs w:val="20"/>
                        </w:rPr>
                        <w:t>2019 issues paper consultation</w:t>
                      </w:r>
                    </w:p>
                    <w:p w14:paraId="0CB07378" w14:textId="61884370" w:rsidR="007317F2" w:rsidRPr="003E7F38" w:rsidRDefault="005D02CB" w:rsidP="004368A1">
                      <w:pPr>
                        <w:pStyle w:val="Coverheading"/>
                        <w:rPr>
                          <w:rFonts w:ascii="Calibri" w:hAnsi="Calibri" w:cs="Calibri"/>
                          <w:color w:val="FF0000"/>
                          <w:sz w:val="40"/>
                        </w:rPr>
                      </w:pPr>
                      <w:r>
                        <w:rPr>
                          <w:rFonts w:ascii="Calibri" w:hAnsi="Calibri" w:cs="Calibri"/>
                          <w:color w:val="FF0000"/>
                          <w:sz w:val="40"/>
                        </w:rPr>
                        <w:t>Final</w:t>
                      </w:r>
                    </w:p>
                    <w:p w14:paraId="684A7F35" w14:textId="77777777" w:rsidR="007317F2" w:rsidRPr="003E7F38" w:rsidRDefault="007317F2" w:rsidP="004368A1">
                      <w:pPr>
                        <w:pStyle w:val="Coversubhead"/>
                        <w:rPr>
                          <w:rFonts w:ascii="Calibri" w:hAnsi="Calibri" w:cs="Calibri"/>
                        </w:rPr>
                      </w:pPr>
                      <w:r w:rsidRPr="003E7F38">
                        <w:rPr>
                          <w:rFonts w:ascii="Calibri" w:hAnsi="Calibri" w:cs="Calibri"/>
                        </w:rPr>
                        <w:t>Submission to the Electricity Authority</w:t>
                      </w:r>
                    </w:p>
                  </w:txbxContent>
                </v:textbox>
                <w10:wrap type="square"/>
              </v:shape>
            </w:pict>
          </mc:Fallback>
        </mc:AlternateContent>
      </w:r>
      <w:r w:rsidR="001077CF" w:rsidRPr="003E7F38">
        <w:rPr>
          <w:rFonts w:cstheme="minorHAnsi"/>
          <w:noProof/>
          <w:lang w:val="en-US"/>
        </w:rPr>
        <mc:AlternateContent>
          <mc:Choice Requires="wps">
            <w:drawing>
              <wp:anchor distT="0" distB="0" distL="114300" distR="114300" simplePos="0" relativeHeight="251660288" behindDoc="0" locked="0" layoutInCell="1" allowOverlap="1" wp14:anchorId="075E0885" wp14:editId="6DE846C2">
                <wp:simplePos x="0" y="0"/>
                <wp:positionH relativeFrom="column">
                  <wp:posOffset>4482382</wp:posOffset>
                </wp:positionH>
                <wp:positionV relativeFrom="paragraph">
                  <wp:posOffset>11126</wp:posOffset>
                </wp:positionV>
                <wp:extent cx="1955800" cy="4070985"/>
                <wp:effectExtent l="0" t="0" r="0" b="5715"/>
                <wp:wrapSquare wrapText="bothSides"/>
                <wp:docPr id="1" name="Text Box 1"/>
                <wp:cNvGraphicFramePr/>
                <a:graphic xmlns:a="http://schemas.openxmlformats.org/drawingml/2006/main">
                  <a:graphicData uri="http://schemas.microsoft.com/office/word/2010/wordprocessingShape">
                    <wps:wsp>
                      <wps:cNvSpPr txBox="1"/>
                      <wps:spPr>
                        <a:xfrm>
                          <a:off x="0" y="0"/>
                          <a:ext cx="1955800" cy="40709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7301AB" w14:textId="77777777" w:rsidR="007317F2" w:rsidRPr="003E7F38" w:rsidRDefault="007317F2" w:rsidP="004368A1">
                            <w:pPr>
                              <w:spacing w:line="240" w:lineRule="auto"/>
                              <w:rPr>
                                <w:rFonts w:ascii="Calibri" w:hAnsi="Calibri" w:cs="Calibri"/>
                                <w:color w:val="00B0F0"/>
                                <w:sz w:val="18"/>
                                <w:szCs w:val="18"/>
                              </w:rPr>
                            </w:pPr>
                            <w:r w:rsidRPr="003E7F38">
                              <w:rPr>
                                <w:rFonts w:ascii="Calibri" w:hAnsi="Calibri" w:cs="Calibri"/>
                                <w:color w:val="00B0F0"/>
                                <w:sz w:val="18"/>
                                <w:szCs w:val="18"/>
                              </w:rPr>
                              <w:t>Date:</w:t>
                            </w:r>
                          </w:p>
                          <w:p w14:paraId="4713D2B0" w14:textId="14AE1AA8" w:rsidR="007317F2" w:rsidRPr="003E7F38" w:rsidRDefault="007317F2" w:rsidP="004368A1">
                            <w:pPr>
                              <w:spacing w:line="240" w:lineRule="auto"/>
                              <w:rPr>
                                <w:rFonts w:ascii="Calibri" w:hAnsi="Calibri" w:cs="Calibri"/>
                                <w:color w:val="000000" w:themeColor="text1"/>
                                <w:sz w:val="18"/>
                                <w:szCs w:val="18"/>
                              </w:rPr>
                            </w:pPr>
                            <w:r>
                              <w:rPr>
                                <w:rFonts w:ascii="Calibri" w:hAnsi="Calibri" w:cs="Calibri"/>
                                <w:color w:val="000000" w:themeColor="text1"/>
                                <w:sz w:val="18"/>
                                <w:szCs w:val="18"/>
                              </w:rPr>
                              <w:t>1 October 2019</w:t>
                            </w:r>
                          </w:p>
                          <w:p w14:paraId="5E869469" w14:textId="77777777" w:rsidR="007317F2" w:rsidRPr="003E7F38" w:rsidRDefault="007317F2" w:rsidP="004368A1">
                            <w:pPr>
                              <w:spacing w:line="240" w:lineRule="auto"/>
                              <w:rPr>
                                <w:rFonts w:ascii="Calibri" w:hAnsi="Calibri" w:cs="Calibri"/>
                                <w:color w:val="00B0F0"/>
                                <w:sz w:val="18"/>
                                <w:szCs w:val="18"/>
                              </w:rPr>
                            </w:pPr>
                            <w:r w:rsidRPr="003E7F38">
                              <w:rPr>
                                <w:rFonts w:ascii="Calibri" w:hAnsi="Calibri" w:cs="Calibri"/>
                                <w:color w:val="00B0F0"/>
                                <w:sz w:val="18"/>
                                <w:szCs w:val="18"/>
                              </w:rPr>
                              <w:t>Name of submitter:</w:t>
                            </w:r>
                          </w:p>
                          <w:p w14:paraId="6BF85E41" w14:textId="77777777" w:rsidR="007317F2" w:rsidRPr="003E7F38" w:rsidRDefault="007317F2" w:rsidP="004368A1">
                            <w:pPr>
                              <w:spacing w:line="240" w:lineRule="auto"/>
                              <w:rPr>
                                <w:rFonts w:ascii="Calibri" w:hAnsi="Calibri" w:cs="Calibri"/>
                                <w:color w:val="000000" w:themeColor="text1"/>
                                <w:sz w:val="18"/>
                                <w:szCs w:val="18"/>
                              </w:rPr>
                            </w:pPr>
                            <w:r w:rsidRPr="003E7F38">
                              <w:rPr>
                                <w:rFonts w:ascii="Calibri" w:hAnsi="Calibri" w:cs="Calibri"/>
                                <w:color w:val="000000" w:themeColor="text1"/>
                                <w:sz w:val="18"/>
                                <w:szCs w:val="18"/>
                              </w:rPr>
                              <w:t>Electricity Networks Association</w:t>
                            </w:r>
                          </w:p>
                          <w:p w14:paraId="3244C2D9" w14:textId="77777777" w:rsidR="007317F2" w:rsidRPr="003E7F38" w:rsidRDefault="007317F2" w:rsidP="004368A1">
                            <w:pPr>
                              <w:spacing w:line="240" w:lineRule="auto"/>
                              <w:rPr>
                                <w:rFonts w:ascii="Calibri" w:hAnsi="Calibri" w:cs="Calibri"/>
                                <w:color w:val="00B0F0"/>
                                <w:sz w:val="18"/>
                                <w:szCs w:val="18"/>
                              </w:rPr>
                            </w:pPr>
                            <w:r w:rsidRPr="003E7F38">
                              <w:rPr>
                                <w:rFonts w:ascii="Calibri" w:hAnsi="Calibri" w:cs="Calibri"/>
                                <w:color w:val="00B0F0"/>
                                <w:sz w:val="18"/>
                                <w:szCs w:val="18"/>
                              </w:rPr>
                              <w:t>Industry/area of interest:</w:t>
                            </w:r>
                          </w:p>
                          <w:p w14:paraId="12F3D394" w14:textId="77777777" w:rsidR="007317F2" w:rsidRPr="003E7F38" w:rsidRDefault="007317F2" w:rsidP="004368A1">
                            <w:pPr>
                              <w:spacing w:line="240" w:lineRule="auto"/>
                              <w:rPr>
                                <w:rFonts w:ascii="Calibri" w:hAnsi="Calibri" w:cs="Calibri"/>
                                <w:color w:val="000000" w:themeColor="text1"/>
                                <w:sz w:val="18"/>
                                <w:szCs w:val="18"/>
                              </w:rPr>
                            </w:pPr>
                            <w:r w:rsidRPr="003E7F38">
                              <w:rPr>
                                <w:rFonts w:ascii="Calibri" w:hAnsi="Calibri" w:cs="Calibri"/>
                                <w:color w:val="000000" w:themeColor="text1"/>
                                <w:sz w:val="18"/>
                                <w:szCs w:val="18"/>
                              </w:rPr>
                              <w:t>Utilities/infrastructure</w:t>
                            </w:r>
                          </w:p>
                          <w:p w14:paraId="2F0898F4" w14:textId="77777777" w:rsidR="007317F2" w:rsidRPr="003E7F38" w:rsidRDefault="007317F2" w:rsidP="004368A1">
                            <w:pPr>
                              <w:spacing w:line="240" w:lineRule="auto"/>
                              <w:rPr>
                                <w:rFonts w:ascii="Calibri" w:hAnsi="Calibri" w:cs="Calibri"/>
                                <w:color w:val="00B0F0"/>
                                <w:sz w:val="18"/>
                                <w:szCs w:val="18"/>
                              </w:rPr>
                            </w:pPr>
                            <w:r w:rsidRPr="003E7F38">
                              <w:rPr>
                                <w:rFonts w:ascii="Calibri" w:hAnsi="Calibri" w:cs="Calibri"/>
                                <w:color w:val="00B0F0"/>
                                <w:sz w:val="18"/>
                                <w:szCs w:val="18"/>
                              </w:rPr>
                              <w:t>Contact details</w:t>
                            </w:r>
                          </w:p>
                          <w:p w14:paraId="77E0875A" w14:textId="12D5954E" w:rsidR="007317F2" w:rsidRPr="003E7F38" w:rsidRDefault="007317F2" w:rsidP="004368A1">
                            <w:pPr>
                              <w:spacing w:line="240" w:lineRule="auto"/>
                              <w:rPr>
                                <w:rFonts w:ascii="Calibri" w:hAnsi="Calibri" w:cs="Calibri"/>
                                <w:color w:val="000000" w:themeColor="text1"/>
                                <w:sz w:val="18"/>
                                <w:szCs w:val="18"/>
                              </w:rPr>
                            </w:pPr>
                            <w:r>
                              <w:rPr>
                                <w:rFonts w:ascii="Calibri" w:hAnsi="Calibri" w:cs="Calibri"/>
                                <w:color w:val="000000" w:themeColor="text1"/>
                                <w:sz w:val="18"/>
                                <w:szCs w:val="18"/>
                              </w:rPr>
                              <w:t>David de Boer. Principal advisor</w:t>
                            </w:r>
                          </w:p>
                          <w:p w14:paraId="7BB5892B" w14:textId="77777777" w:rsidR="007317F2" w:rsidRPr="003E7F38" w:rsidRDefault="007317F2" w:rsidP="004368A1">
                            <w:pPr>
                              <w:spacing w:line="240" w:lineRule="auto"/>
                              <w:rPr>
                                <w:rFonts w:ascii="Calibri" w:hAnsi="Calibri" w:cs="Calibri"/>
                                <w:color w:val="00B0F0"/>
                                <w:sz w:val="18"/>
                                <w:szCs w:val="18"/>
                              </w:rPr>
                            </w:pPr>
                            <w:r w:rsidRPr="003E7F38">
                              <w:rPr>
                                <w:rFonts w:ascii="Calibri" w:hAnsi="Calibri" w:cs="Calibri"/>
                                <w:color w:val="00B0F0"/>
                                <w:sz w:val="18"/>
                                <w:szCs w:val="18"/>
                              </w:rPr>
                              <w:t>Address:</w:t>
                            </w:r>
                          </w:p>
                          <w:p w14:paraId="7E5C3206" w14:textId="77777777" w:rsidR="007317F2" w:rsidRPr="003E7F38" w:rsidRDefault="007317F2" w:rsidP="004368A1">
                            <w:pPr>
                              <w:spacing w:line="240" w:lineRule="auto"/>
                              <w:rPr>
                                <w:rFonts w:ascii="Calibri" w:hAnsi="Calibri" w:cs="Calibri"/>
                                <w:color w:val="000000" w:themeColor="text1"/>
                                <w:sz w:val="18"/>
                                <w:szCs w:val="18"/>
                              </w:rPr>
                            </w:pPr>
                            <w:r w:rsidRPr="003E7F38">
                              <w:rPr>
                                <w:rFonts w:ascii="Calibri" w:hAnsi="Calibri" w:cs="Calibri"/>
                                <w:color w:val="000000" w:themeColor="text1"/>
                                <w:sz w:val="18"/>
                                <w:szCs w:val="18"/>
                              </w:rPr>
                              <w:t>Level 5, Legal House</w:t>
                            </w:r>
                          </w:p>
                          <w:p w14:paraId="31F816AD" w14:textId="77777777" w:rsidR="007317F2" w:rsidRPr="003E7F38" w:rsidRDefault="007317F2" w:rsidP="004368A1">
                            <w:pPr>
                              <w:spacing w:line="240" w:lineRule="auto"/>
                              <w:rPr>
                                <w:rFonts w:ascii="Calibri" w:hAnsi="Calibri" w:cs="Calibri"/>
                                <w:color w:val="000000" w:themeColor="text1"/>
                                <w:sz w:val="18"/>
                                <w:szCs w:val="18"/>
                              </w:rPr>
                            </w:pPr>
                            <w:r w:rsidRPr="003E7F38">
                              <w:rPr>
                                <w:rFonts w:ascii="Calibri" w:hAnsi="Calibri" w:cs="Calibri"/>
                                <w:color w:val="000000" w:themeColor="text1"/>
                                <w:sz w:val="18"/>
                                <w:szCs w:val="18"/>
                              </w:rPr>
                              <w:t>101 Lambton Quay</w:t>
                            </w:r>
                          </w:p>
                          <w:p w14:paraId="158AC67D" w14:textId="77777777" w:rsidR="007317F2" w:rsidRPr="003E7F38" w:rsidRDefault="007317F2" w:rsidP="004368A1">
                            <w:pPr>
                              <w:spacing w:line="240" w:lineRule="auto"/>
                              <w:rPr>
                                <w:rFonts w:ascii="Calibri" w:hAnsi="Calibri" w:cs="Calibri"/>
                                <w:color w:val="000000" w:themeColor="text1"/>
                                <w:sz w:val="18"/>
                                <w:szCs w:val="18"/>
                              </w:rPr>
                            </w:pPr>
                            <w:r w:rsidRPr="003E7F38">
                              <w:rPr>
                                <w:rFonts w:ascii="Calibri" w:hAnsi="Calibri" w:cs="Calibri"/>
                                <w:color w:val="000000" w:themeColor="text1"/>
                                <w:sz w:val="18"/>
                                <w:szCs w:val="18"/>
                              </w:rPr>
                              <w:t>WELLINGTON 6011</w:t>
                            </w:r>
                          </w:p>
                          <w:p w14:paraId="07ED6282" w14:textId="77777777" w:rsidR="007317F2" w:rsidRPr="003E7F38" w:rsidRDefault="007317F2" w:rsidP="004368A1">
                            <w:pPr>
                              <w:spacing w:line="240" w:lineRule="auto"/>
                              <w:rPr>
                                <w:rFonts w:ascii="Calibri" w:hAnsi="Calibri" w:cs="Calibri"/>
                                <w:color w:val="00B0F0"/>
                                <w:sz w:val="18"/>
                                <w:szCs w:val="18"/>
                              </w:rPr>
                            </w:pPr>
                            <w:r w:rsidRPr="003E7F38">
                              <w:rPr>
                                <w:rFonts w:ascii="Calibri" w:hAnsi="Calibri" w:cs="Calibri"/>
                                <w:color w:val="00B0F0"/>
                                <w:sz w:val="18"/>
                                <w:szCs w:val="18"/>
                              </w:rPr>
                              <w:t>Telephone:</w:t>
                            </w:r>
                          </w:p>
                          <w:p w14:paraId="38E8D870" w14:textId="0DA52EDB" w:rsidR="007317F2" w:rsidRPr="003E7F38" w:rsidRDefault="007317F2" w:rsidP="004368A1">
                            <w:pPr>
                              <w:spacing w:line="240" w:lineRule="auto"/>
                              <w:rPr>
                                <w:rFonts w:ascii="Calibri" w:hAnsi="Calibri" w:cs="Calibri"/>
                                <w:color w:val="000000" w:themeColor="text1"/>
                                <w:sz w:val="18"/>
                                <w:szCs w:val="18"/>
                              </w:rPr>
                            </w:pPr>
                            <w:r w:rsidRPr="003E7F38">
                              <w:rPr>
                                <w:rFonts w:ascii="Calibri" w:hAnsi="Calibri" w:cs="Calibri"/>
                                <w:color w:val="000000" w:themeColor="text1"/>
                                <w:sz w:val="18"/>
                                <w:szCs w:val="18"/>
                              </w:rPr>
                              <w:t xml:space="preserve">64 4 </w:t>
                            </w:r>
                            <w:r>
                              <w:rPr>
                                <w:rFonts w:ascii="Calibri" w:hAnsi="Calibri" w:cs="Calibri"/>
                                <w:color w:val="000000" w:themeColor="text1"/>
                                <w:sz w:val="18"/>
                                <w:szCs w:val="18"/>
                              </w:rPr>
                              <w:t>555 0074</w:t>
                            </w:r>
                          </w:p>
                          <w:p w14:paraId="57C417E7" w14:textId="77777777" w:rsidR="007317F2" w:rsidRPr="003E7F38" w:rsidRDefault="007317F2" w:rsidP="004368A1">
                            <w:pPr>
                              <w:spacing w:line="240" w:lineRule="auto"/>
                              <w:rPr>
                                <w:rFonts w:ascii="Calibri" w:hAnsi="Calibri" w:cs="Calibri"/>
                                <w:color w:val="00B0F0"/>
                                <w:sz w:val="18"/>
                                <w:szCs w:val="18"/>
                              </w:rPr>
                            </w:pPr>
                            <w:r w:rsidRPr="003E7F38">
                              <w:rPr>
                                <w:rFonts w:ascii="Calibri" w:hAnsi="Calibri" w:cs="Calibri"/>
                                <w:color w:val="00B0F0"/>
                                <w:sz w:val="18"/>
                                <w:szCs w:val="18"/>
                              </w:rPr>
                              <w:t>Email:</w:t>
                            </w:r>
                          </w:p>
                          <w:p w14:paraId="18D5E33E" w14:textId="2A3D73CB" w:rsidR="007317F2" w:rsidRPr="003E7F38" w:rsidRDefault="007317F2" w:rsidP="004368A1">
                            <w:pPr>
                              <w:spacing w:line="240" w:lineRule="auto"/>
                              <w:rPr>
                                <w:rFonts w:ascii="Calibri" w:hAnsi="Calibri" w:cs="Calibri"/>
                                <w:color w:val="000000" w:themeColor="text1"/>
                                <w:sz w:val="18"/>
                                <w:szCs w:val="18"/>
                              </w:rPr>
                            </w:pPr>
                            <w:r>
                              <w:rPr>
                                <w:rFonts w:ascii="Calibri" w:hAnsi="Calibri" w:cs="Calibri"/>
                                <w:color w:val="000000" w:themeColor="text1"/>
                                <w:sz w:val="18"/>
                                <w:szCs w:val="18"/>
                              </w:rPr>
                              <w:t>david</w:t>
                            </w:r>
                            <w:r w:rsidRPr="003E7F38">
                              <w:rPr>
                                <w:rFonts w:ascii="Calibri" w:hAnsi="Calibri" w:cs="Calibri"/>
                                <w:color w:val="000000" w:themeColor="text1"/>
                                <w:sz w:val="18"/>
                                <w:szCs w:val="18"/>
                              </w:rPr>
                              <w:t>@electricity.org.nz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E0885" id="Text Box 1" o:spid="_x0000_s1027" type="#_x0000_t202" style="position:absolute;margin-left:352.95pt;margin-top:.9pt;width:154pt;height:3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" filled="f" stroked="f">
                <v:textbox>
                  <w:txbxContent>
                    <w:p w14:paraId="307301AB" w14:textId="77777777" w:rsidR="007317F2" w:rsidRPr="003E7F38" w:rsidRDefault="007317F2" w:rsidP="004368A1">
                      <w:pPr>
                        <w:spacing w:line="240" w:lineRule="auto"/>
                        <w:rPr>
                          <w:rFonts w:ascii="Calibri" w:hAnsi="Calibri" w:cs="Calibri"/>
                          <w:color w:val="00B0F0"/>
                          <w:sz w:val="18"/>
                          <w:szCs w:val="18"/>
                        </w:rPr>
                      </w:pPr>
                      <w:r w:rsidRPr="003E7F38">
                        <w:rPr>
                          <w:rFonts w:ascii="Calibri" w:hAnsi="Calibri" w:cs="Calibri"/>
                          <w:color w:val="00B0F0"/>
                          <w:sz w:val="18"/>
                          <w:szCs w:val="18"/>
                        </w:rPr>
                        <w:t>Date:</w:t>
                      </w:r>
                    </w:p>
                    <w:p w14:paraId="4713D2B0" w14:textId="14AE1AA8" w:rsidR="007317F2" w:rsidRPr="003E7F38" w:rsidRDefault="007317F2" w:rsidP="004368A1">
                      <w:pPr>
                        <w:spacing w:line="240" w:lineRule="auto"/>
                        <w:rPr>
                          <w:rFonts w:ascii="Calibri" w:hAnsi="Calibri" w:cs="Calibri"/>
                          <w:color w:val="000000" w:themeColor="text1"/>
                          <w:sz w:val="18"/>
                          <w:szCs w:val="18"/>
                        </w:rPr>
                      </w:pPr>
                      <w:r>
                        <w:rPr>
                          <w:rFonts w:ascii="Calibri" w:hAnsi="Calibri" w:cs="Calibri"/>
                          <w:color w:val="000000" w:themeColor="text1"/>
                          <w:sz w:val="18"/>
                          <w:szCs w:val="18"/>
                        </w:rPr>
                        <w:t>1 October 2019</w:t>
                      </w:r>
                    </w:p>
                    <w:p w14:paraId="5E869469" w14:textId="77777777" w:rsidR="007317F2" w:rsidRPr="003E7F38" w:rsidRDefault="007317F2" w:rsidP="004368A1">
                      <w:pPr>
                        <w:spacing w:line="240" w:lineRule="auto"/>
                        <w:rPr>
                          <w:rFonts w:ascii="Calibri" w:hAnsi="Calibri" w:cs="Calibri"/>
                          <w:color w:val="00B0F0"/>
                          <w:sz w:val="18"/>
                          <w:szCs w:val="18"/>
                        </w:rPr>
                      </w:pPr>
                      <w:r w:rsidRPr="003E7F38">
                        <w:rPr>
                          <w:rFonts w:ascii="Calibri" w:hAnsi="Calibri" w:cs="Calibri"/>
                          <w:color w:val="00B0F0"/>
                          <w:sz w:val="18"/>
                          <w:szCs w:val="18"/>
                        </w:rPr>
                        <w:t>Name of submitter:</w:t>
                      </w:r>
                    </w:p>
                    <w:p w14:paraId="6BF85E41" w14:textId="77777777" w:rsidR="007317F2" w:rsidRPr="003E7F38" w:rsidRDefault="007317F2" w:rsidP="004368A1">
                      <w:pPr>
                        <w:spacing w:line="240" w:lineRule="auto"/>
                        <w:rPr>
                          <w:rFonts w:ascii="Calibri" w:hAnsi="Calibri" w:cs="Calibri"/>
                          <w:color w:val="000000" w:themeColor="text1"/>
                          <w:sz w:val="18"/>
                          <w:szCs w:val="18"/>
                        </w:rPr>
                      </w:pPr>
                      <w:r w:rsidRPr="003E7F38">
                        <w:rPr>
                          <w:rFonts w:ascii="Calibri" w:hAnsi="Calibri" w:cs="Calibri"/>
                          <w:color w:val="000000" w:themeColor="text1"/>
                          <w:sz w:val="18"/>
                          <w:szCs w:val="18"/>
                        </w:rPr>
                        <w:t>Electricity Networks Association</w:t>
                      </w:r>
                    </w:p>
                    <w:p w14:paraId="3244C2D9" w14:textId="77777777" w:rsidR="007317F2" w:rsidRPr="003E7F38" w:rsidRDefault="007317F2" w:rsidP="004368A1">
                      <w:pPr>
                        <w:spacing w:line="240" w:lineRule="auto"/>
                        <w:rPr>
                          <w:rFonts w:ascii="Calibri" w:hAnsi="Calibri" w:cs="Calibri"/>
                          <w:color w:val="00B0F0"/>
                          <w:sz w:val="18"/>
                          <w:szCs w:val="18"/>
                        </w:rPr>
                      </w:pPr>
                      <w:r w:rsidRPr="003E7F38">
                        <w:rPr>
                          <w:rFonts w:ascii="Calibri" w:hAnsi="Calibri" w:cs="Calibri"/>
                          <w:color w:val="00B0F0"/>
                          <w:sz w:val="18"/>
                          <w:szCs w:val="18"/>
                        </w:rPr>
                        <w:t>Industry/area of interest:</w:t>
                      </w:r>
                    </w:p>
                    <w:p w14:paraId="12F3D394" w14:textId="77777777" w:rsidR="007317F2" w:rsidRPr="003E7F38" w:rsidRDefault="007317F2" w:rsidP="004368A1">
                      <w:pPr>
                        <w:spacing w:line="240" w:lineRule="auto"/>
                        <w:rPr>
                          <w:rFonts w:ascii="Calibri" w:hAnsi="Calibri" w:cs="Calibri"/>
                          <w:color w:val="000000" w:themeColor="text1"/>
                          <w:sz w:val="18"/>
                          <w:szCs w:val="18"/>
                        </w:rPr>
                      </w:pPr>
                      <w:r w:rsidRPr="003E7F38">
                        <w:rPr>
                          <w:rFonts w:ascii="Calibri" w:hAnsi="Calibri" w:cs="Calibri"/>
                          <w:color w:val="000000" w:themeColor="text1"/>
                          <w:sz w:val="18"/>
                          <w:szCs w:val="18"/>
                        </w:rPr>
                        <w:t>Utilities/infrastructure</w:t>
                      </w:r>
                    </w:p>
                    <w:p w14:paraId="2F0898F4" w14:textId="77777777" w:rsidR="007317F2" w:rsidRPr="003E7F38" w:rsidRDefault="007317F2" w:rsidP="004368A1">
                      <w:pPr>
                        <w:spacing w:line="240" w:lineRule="auto"/>
                        <w:rPr>
                          <w:rFonts w:ascii="Calibri" w:hAnsi="Calibri" w:cs="Calibri"/>
                          <w:color w:val="00B0F0"/>
                          <w:sz w:val="18"/>
                          <w:szCs w:val="18"/>
                        </w:rPr>
                      </w:pPr>
                      <w:r w:rsidRPr="003E7F38">
                        <w:rPr>
                          <w:rFonts w:ascii="Calibri" w:hAnsi="Calibri" w:cs="Calibri"/>
                          <w:color w:val="00B0F0"/>
                          <w:sz w:val="18"/>
                          <w:szCs w:val="18"/>
                        </w:rPr>
                        <w:t>Contact details</w:t>
                      </w:r>
                    </w:p>
                    <w:p w14:paraId="77E0875A" w14:textId="12D5954E" w:rsidR="007317F2" w:rsidRPr="003E7F38" w:rsidRDefault="007317F2" w:rsidP="004368A1">
                      <w:pPr>
                        <w:spacing w:line="240" w:lineRule="auto"/>
                        <w:rPr>
                          <w:rFonts w:ascii="Calibri" w:hAnsi="Calibri" w:cs="Calibri"/>
                          <w:color w:val="000000" w:themeColor="text1"/>
                          <w:sz w:val="18"/>
                          <w:szCs w:val="18"/>
                        </w:rPr>
                      </w:pPr>
                      <w:r>
                        <w:rPr>
                          <w:rFonts w:ascii="Calibri" w:hAnsi="Calibri" w:cs="Calibri"/>
                          <w:color w:val="000000" w:themeColor="text1"/>
                          <w:sz w:val="18"/>
                          <w:szCs w:val="18"/>
                        </w:rPr>
                        <w:t>David de Boer. Principal advisor</w:t>
                      </w:r>
                    </w:p>
                    <w:p w14:paraId="7BB5892B" w14:textId="77777777" w:rsidR="007317F2" w:rsidRPr="003E7F38" w:rsidRDefault="007317F2" w:rsidP="004368A1">
                      <w:pPr>
                        <w:spacing w:line="240" w:lineRule="auto"/>
                        <w:rPr>
                          <w:rFonts w:ascii="Calibri" w:hAnsi="Calibri" w:cs="Calibri"/>
                          <w:color w:val="00B0F0"/>
                          <w:sz w:val="18"/>
                          <w:szCs w:val="18"/>
                        </w:rPr>
                      </w:pPr>
                      <w:r w:rsidRPr="003E7F38">
                        <w:rPr>
                          <w:rFonts w:ascii="Calibri" w:hAnsi="Calibri" w:cs="Calibri"/>
                          <w:color w:val="00B0F0"/>
                          <w:sz w:val="18"/>
                          <w:szCs w:val="18"/>
                        </w:rPr>
                        <w:t>Address:</w:t>
                      </w:r>
                    </w:p>
                    <w:p w14:paraId="7E5C3206" w14:textId="77777777" w:rsidR="007317F2" w:rsidRPr="003E7F38" w:rsidRDefault="007317F2" w:rsidP="004368A1">
                      <w:pPr>
                        <w:spacing w:line="240" w:lineRule="auto"/>
                        <w:rPr>
                          <w:rFonts w:ascii="Calibri" w:hAnsi="Calibri" w:cs="Calibri"/>
                          <w:color w:val="000000" w:themeColor="text1"/>
                          <w:sz w:val="18"/>
                          <w:szCs w:val="18"/>
                        </w:rPr>
                      </w:pPr>
                      <w:r w:rsidRPr="003E7F38">
                        <w:rPr>
                          <w:rFonts w:ascii="Calibri" w:hAnsi="Calibri" w:cs="Calibri"/>
                          <w:color w:val="000000" w:themeColor="text1"/>
                          <w:sz w:val="18"/>
                          <w:szCs w:val="18"/>
                        </w:rPr>
                        <w:t>Level 5, Legal House</w:t>
                      </w:r>
                    </w:p>
                    <w:p w14:paraId="31F816AD" w14:textId="77777777" w:rsidR="007317F2" w:rsidRPr="003E7F38" w:rsidRDefault="007317F2" w:rsidP="004368A1">
                      <w:pPr>
                        <w:spacing w:line="240" w:lineRule="auto"/>
                        <w:rPr>
                          <w:rFonts w:ascii="Calibri" w:hAnsi="Calibri" w:cs="Calibri"/>
                          <w:color w:val="000000" w:themeColor="text1"/>
                          <w:sz w:val="18"/>
                          <w:szCs w:val="18"/>
                        </w:rPr>
                      </w:pPr>
                      <w:r w:rsidRPr="003E7F38">
                        <w:rPr>
                          <w:rFonts w:ascii="Calibri" w:hAnsi="Calibri" w:cs="Calibri"/>
                          <w:color w:val="000000" w:themeColor="text1"/>
                          <w:sz w:val="18"/>
                          <w:szCs w:val="18"/>
                        </w:rPr>
                        <w:t>101 Lambton Quay</w:t>
                      </w:r>
                    </w:p>
                    <w:p w14:paraId="158AC67D" w14:textId="77777777" w:rsidR="007317F2" w:rsidRPr="003E7F38" w:rsidRDefault="007317F2" w:rsidP="004368A1">
                      <w:pPr>
                        <w:spacing w:line="240" w:lineRule="auto"/>
                        <w:rPr>
                          <w:rFonts w:ascii="Calibri" w:hAnsi="Calibri" w:cs="Calibri"/>
                          <w:color w:val="000000" w:themeColor="text1"/>
                          <w:sz w:val="18"/>
                          <w:szCs w:val="18"/>
                        </w:rPr>
                      </w:pPr>
                      <w:r w:rsidRPr="003E7F38">
                        <w:rPr>
                          <w:rFonts w:ascii="Calibri" w:hAnsi="Calibri" w:cs="Calibri"/>
                          <w:color w:val="000000" w:themeColor="text1"/>
                          <w:sz w:val="18"/>
                          <w:szCs w:val="18"/>
                        </w:rPr>
                        <w:t>WELLINGTON 6011</w:t>
                      </w:r>
                    </w:p>
                    <w:p w14:paraId="07ED6282" w14:textId="77777777" w:rsidR="007317F2" w:rsidRPr="003E7F38" w:rsidRDefault="007317F2" w:rsidP="004368A1">
                      <w:pPr>
                        <w:spacing w:line="240" w:lineRule="auto"/>
                        <w:rPr>
                          <w:rFonts w:ascii="Calibri" w:hAnsi="Calibri" w:cs="Calibri"/>
                          <w:color w:val="00B0F0"/>
                          <w:sz w:val="18"/>
                          <w:szCs w:val="18"/>
                        </w:rPr>
                      </w:pPr>
                      <w:r w:rsidRPr="003E7F38">
                        <w:rPr>
                          <w:rFonts w:ascii="Calibri" w:hAnsi="Calibri" w:cs="Calibri"/>
                          <w:color w:val="00B0F0"/>
                          <w:sz w:val="18"/>
                          <w:szCs w:val="18"/>
                        </w:rPr>
                        <w:t>Telephone:</w:t>
                      </w:r>
                    </w:p>
                    <w:p w14:paraId="38E8D870" w14:textId="0DA52EDB" w:rsidR="007317F2" w:rsidRPr="003E7F38" w:rsidRDefault="007317F2" w:rsidP="004368A1">
                      <w:pPr>
                        <w:spacing w:line="240" w:lineRule="auto"/>
                        <w:rPr>
                          <w:rFonts w:ascii="Calibri" w:hAnsi="Calibri" w:cs="Calibri"/>
                          <w:color w:val="000000" w:themeColor="text1"/>
                          <w:sz w:val="18"/>
                          <w:szCs w:val="18"/>
                        </w:rPr>
                      </w:pPr>
                      <w:r w:rsidRPr="003E7F38">
                        <w:rPr>
                          <w:rFonts w:ascii="Calibri" w:hAnsi="Calibri" w:cs="Calibri"/>
                          <w:color w:val="000000" w:themeColor="text1"/>
                          <w:sz w:val="18"/>
                          <w:szCs w:val="18"/>
                        </w:rPr>
                        <w:t xml:space="preserve">64 4 </w:t>
                      </w:r>
                      <w:r>
                        <w:rPr>
                          <w:rFonts w:ascii="Calibri" w:hAnsi="Calibri" w:cs="Calibri"/>
                          <w:color w:val="000000" w:themeColor="text1"/>
                          <w:sz w:val="18"/>
                          <w:szCs w:val="18"/>
                        </w:rPr>
                        <w:t>555 0074</w:t>
                      </w:r>
                    </w:p>
                    <w:p w14:paraId="57C417E7" w14:textId="77777777" w:rsidR="007317F2" w:rsidRPr="003E7F38" w:rsidRDefault="007317F2" w:rsidP="004368A1">
                      <w:pPr>
                        <w:spacing w:line="240" w:lineRule="auto"/>
                        <w:rPr>
                          <w:rFonts w:ascii="Calibri" w:hAnsi="Calibri" w:cs="Calibri"/>
                          <w:color w:val="00B0F0"/>
                          <w:sz w:val="18"/>
                          <w:szCs w:val="18"/>
                        </w:rPr>
                      </w:pPr>
                      <w:r w:rsidRPr="003E7F38">
                        <w:rPr>
                          <w:rFonts w:ascii="Calibri" w:hAnsi="Calibri" w:cs="Calibri"/>
                          <w:color w:val="00B0F0"/>
                          <w:sz w:val="18"/>
                          <w:szCs w:val="18"/>
                        </w:rPr>
                        <w:t>Email:</w:t>
                      </w:r>
                    </w:p>
                    <w:p w14:paraId="18D5E33E" w14:textId="2A3D73CB" w:rsidR="007317F2" w:rsidRPr="003E7F38" w:rsidRDefault="007317F2" w:rsidP="004368A1">
                      <w:pPr>
                        <w:spacing w:line="240" w:lineRule="auto"/>
                        <w:rPr>
                          <w:rFonts w:ascii="Calibri" w:hAnsi="Calibri" w:cs="Calibri"/>
                          <w:color w:val="000000" w:themeColor="text1"/>
                          <w:sz w:val="18"/>
                          <w:szCs w:val="18"/>
                        </w:rPr>
                      </w:pPr>
                      <w:r>
                        <w:rPr>
                          <w:rFonts w:ascii="Calibri" w:hAnsi="Calibri" w:cs="Calibri"/>
                          <w:color w:val="000000" w:themeColor="text1"/>
                          <w:sz w:val="18"/>
                          <w:szCs w:val="18"/>
                        </w:rPr>
                        <w:t>david</w:t>
                      </w:r>
                      <w:r w:rsidRPr="003E7F38">
                        <w:rPr>
                          <w:rFonts w:ascii="Calibri" w:hAnsi="Calibri" w:cs="Calibri"/>
                          <w:color w:val="000000" w:themeColor="text1"/>
                          <w:sz w:val="18"/>
                          <w:szCs w:val="18"/>
                        </w:rPr>
                        <w:t>@electricity.org.nz</w:t>
                      </w:r>
                    </w:p>
                  </w:txbxContent>
                </v:textbox>
                <w10:wrap type="square"/>
              </v:shape>
            </w:pict>
          </mc:Fallback>
        </mc:AlternateContent>
      </w:r>
      <w:r w:rsidR="004368A1" w:rsidRPr="003E7F38">
        <w:rPr>
          <w:rFonts w:cstheme="minorHAnsi"/>
          <w:noProof/>
          <w:lang w:val="en-US"/>
        </w:rPr>
        <mc:AlternateContent>
          <mc:Choice Requires="wps">
            <w:drawing>
              <wp:anchor distT="0" distB="0" distL="114300" distR="114300" simplePos="0" relativeHeight="251661312" behindDoc="0" locked="0" layoutInCell="1" allowOverlap="1" wp14:anchorId="7C4BAF88" wp14:editId="7E9A004B">
                <wp:simplePos x="0" y="0"/>
                <wp:positionH relativeFrom="column">
                  <wp:posOffset>2719070</wp:posOffset>
                </wp:positionH>
                <wp:positionV relativeFrom="paragraph">
                  <wp:posOffset>8576945</wp:posOffset>
                </wp:positionV>
                <wp:extent cx="33020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3020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F914123" w14:textId="77777777" w:rsidR="007317F2" w:rsidRPr="003E7F38" w:rsidRDefault="007317F2" w:rsidP="004368A1">
                            <w:pPr>
                              <w:jc w:val="right"/>
                              <w:rPr>
                                <w:rFonts w:cstheme="minorHAnsi"/>
                                <w:b/>
                                <w:color w:val="FFFFFF" w:themeColor="background1"/>
                              </w:rPr>
                            </w:pPr>
                            <w:r w:rsidRPr="003E7F38">
                              <w:rPr>
                                <w:rFonts w:cstheme="minorHAnsi"/>
                                <w:b/>
                                <w:color w:val="FFFFFF" w:themeColor="background1"/>
                              </w:rPr>
                              <w:t>From the Electricity Networks Association</w:t>
                            </w:r>
                          </w:p>
                          <w:p w14:paraId="027CD600" w14:textId="77777777" w:rsidR="007317F2" w:rsidRPr="003E7F38" w:rsidRDefault="007317F2" w:rsidP="004368A1">
                            <w:pPr>
                              <w:rPr>
                                <w:rFonts w:cstheme="minorHAnsi"/>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4BAF88" id="Text Box 3" o:spid="_x0000_s1028" type="#_x0000_t202" style="position:absolute;margin-left:214.1pt;margin-top:675.35pt;width:260pt;height: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" filled="f" stroked="f">
                <v:textbox>
                  <w:txbxContent>
                    <w:p w14:paraId="7F914123" w14:textId="77777777" w:rsidR="007317F2" w:rsidRPr="003E7F38" w:rsidRDefault="007317F2" w:rsidP="004368A1">
                      <w:pPr>
                        <w:jc w:val="right"/>
                        <w:rPr>
                          <w:rFonts w:cstheme="minorHAnsi"/>
                          <w:b/>
                          <w:color w:val="FFFFFF" w:themeColor="background1"/>
                        </w:rPr>
                      </w:pPr>
                      <w:r w:rsidRPr="003E7F38">
                        <w:rPr>
                          <w:rFonts w:cstheme="minorHAnsi"/>
                          <w:b/>
                          <w:color w:val="FFFFFF" w:themeColor="background1"/>
                        </w:rPr>
                        <w:t>From the Electricity Networks Association</w:t>
                      </w:r>
                    </w:p>
                    <w:p w14:paraId="027CD600" w14:textId="77777777" w:rsidR="007317F2" w:rsidRPr="003E7F38" w:rsidRDefault="007317F2" w:rsidP="004368A1">
                      <w:pPr>
                        <w:rPr>
                          <w:rFonts w:cstheme="minorHAnsi"/>
                          <w:b/>
                          <w:color w:val="FFFFFF" w:themeColor="background1"/>
                        </w:rPr>
                      </w:pPr>
                    </w:p>
                  </w:txbxContent>
                </v:textbox>
              </v:shape>
            </w:pict>
          </mc:Fallback>
        </mc:AlternateContent>
      </w:r>
      <w:r w:rsidR="004368A1" w:rsidRPr="003E7F38">
        <w:rPr>
          <w:rFonts w:cstheme="minorHAnsi"/>
        </w:rPr>
        <w:br w:type="page"/>
      </w:r>
    </w:p>
    <w:p w14:paraId="1E978992" w14:textId="77777777" w:rsidR="004368A1" w:rsidRPr="003E7F38" w:rsidRDefault="004368A1" w:rsidP="004368A1">
      <w:pPr>
        <w:pStyle w:val="Pageheading"/>
        <w:rPr>
          <w:rFonts w:asciiTheme="minorHAnsi" w:hAnsiTheme="minorHAnsi" w:cstheme="minorHAnsi"/>
        </w:rPr>
      </w:pPr>
      <w:r w:rsidRPr="003E7F38">
        <w:rPr>
          <w:rFonts w:asciiTheme="minorHAnsi" w:hAnsiTheme="minorHAnsi" w:cstheme="minorHAnsi"/>
        </w:rPr>
        <w:lastRenderedPageBreak/>
        <w:t>Contents</w:t>
      </w:r>
    </w:p>
    <w:p w14:paraId="2B02C5F7" w14:textId="08FBE570" w:rsidR="0082133B" w:rsidRDefault="004368A1">
      <w:pPr>
        <w:pStyle w:val="TOC1"/>
        <w:tabs>
          <w:tab w:val="left" w:pos="440"/>
          <w:tab w:val="right" w:leader="dot" w:pos="9054"/>
        </w:tabs>
        <w:rPr>
          <w:rFonts w:asciiTheme="minorHAnsi" w:eastAsiaTheme="minorEastAsia" w:hAnsiTheme="minorHAnsi" w:cstheme="minorBidi"/>
          <w:b w:val="0"/>
          <w:bCs w:val="0"/>
          <w:caps w:val="0"/>
          <w:noProof/>
          <w:sz w:val="22"/>
          <w:szCs w:val="22"/>
          <w:lang w:val="en-US"/>
        </w:rPr>
      </w:pPr>
      <w:r w:rsidRPr="003E7F38">
        <w:rPr>
          <w:rFonts w:asciiTheme="minorHAnsi" w:hAnsiTheme="minorHAnsi" w:cstheme="minorHAnsi"/>
          <w:b w:val="0"/>
          <w:sz w:val="22"/>
          <w:szCs w:val="22"/>
        </w:rPr>
        <w:fldChar w:fldCharType="begin"/>
      </w:r>
      <w:r w:rsidRPr="003E7F38">
        <w:rPr>
          <w:rFonts w:asciiTheme="minorHAnsi" w:hAnsiTheme="minorHAnsi" w:cstheme="minorHAnsi"/>
          <w:b w:val="0"/>
          <w:sz w:val="22"/>
          <w:szCs w:val="22"/>
        </w:rPr>
        <w:instrText xml:space="preserve"> TOC \o "1-2" \h \z \t "1. Heading,1,1.1 Heading,2" </w:instrText>
      </w:r>
      <w:r w:rsidRPr="003E7F38">
        <w:rPr>
          <w:rFonts w:asciiTheme="minorHAnsi" w:hAnsiTheme="minorHAnsi" w:cstheme="minorHAnsi"/>
          <w:b w:val="0"/>
          <w:sz w:val="22"/>
          <w:szCs w:val="22"/>
        </w:rPr>
        <w:fldChar w:fldCharType="separate"/>
      </w:r>
      <w:hyperlink w:anchor="_Toc20839536" w:history="1">
        <w:r w:rsidR="0082133B" w:rsidRPr="0060217D">
          <w:rPr>
            <w:rStyle w:val="Hyperlink"/>
            <w:rFonts w:cstheme="minorHAnsi"/>
            <w:noProof/>
          </w:rPr>
          <w:t>1.</w:t>
        </w:r>
        <w:r w:rsidR="0082133B">
          <w:rPr>
            <w:rFonts w:asciiTheme="minorHAnsi" w:eastAsiaTheme="minorEastAsia" w:hAnsiTheme="minorHAnsi" w:cstheme="minorBidi"/>
            <w:b w:val="0"/>
            <w:bCs w:val="0"/>
            <w:caps w:val="0"/>
            <w:noProof/>
            <w:sz w:val="22"/>
            <w:szCs w:val="22"/>
            <w:lang w:val="en-US"/>
          </w:rPr>
          <w:tab/>
        </w:r>
        <w:r w:rsidR="0082133B" w:rsidRPr="0060217D">
          <w:rPr>
            <w:rStyle w:val="Hyperlink"/>
            <w:rFonts w:cstheme="minorHAnsi"/>
            <w:noProof/>
          </w:rPr>
          <w:t>Introduction</w:t>
        </w:r>
        <w:r w:rsidR="0082133B">
          <w:rPr>
            <w:noProof/>
            <w:webHidden/>
          </w:rPr>
          <w:tab/>
        </w:r>
        <w:r w:rsidR="0082133B">
          <w:rPr>
            <w:noProof/>
            <w:webHidden/>
          </w:rPr>
          <w:fldChar w:fldCharType="begin"/>
        </w:r>
        <w:r w:rsidR="0082133B">
          <w:rPr>
            <w:noProof/>
            <w:webHidden/>
          </w:rPr>
          <w:instrText xml:space="preserve"> PAGEREF _Toc20839536 \h </w:instrText>
        </w:r>
        <w:r w:rsidR="0082133B">
          <w:rPr>
            <w:noProof/>
            <w:webHidden/>
          </w:rPr>
        </w:r>
        <w:r w:rsidR="0082133B">
          <w:rPr>
            <w:noProof/>
            <w:webHidden/>
          </w:rPr>
          <w:fldChar w:fldCharType="separate"/>
        </w:r>
        <w:r w:rsidR="0082133B">
          <w:rPr>
            <w:noProof/>
            <w:webHidden/>
          </w:rPr>
          <w:t>3</w:t>
        </w:r>
        <w:r w:rsidR="0082133B">
          <w:rPr>
            <w:noProof/>
            <w:webHidden/>
          </w:rPr>
          <w:fldChar w:fldCharType="end"/>
        </w:r>
      </w:hyperlink>
    </w:p>
    <w:p w14:paraId="247163DB" w14:textId="5D5162E2" w:rsidR="0082133B" w:rsidRDefault="0082133B">
      <w:pPr>
        <w:pStyle w:val="TOC1"/>
        <w:tabs>
          <w:tab w:val="left" w:pos="440"/>
          <w:tab w:val="right" w:leader="dot" w:pos="9054"/>
        </w:tabs>
        <w:rPr>
          <w:rFonts w:asciiTheme="minorHAnsi" w:eastAsiaTheme="minorEastAsia" w:hAnsiTheme="minorHAnsi" w:cstheme="minorBidi"/>
          <w:b w:val="0"/>
          <w:bCs w:val="0"/>
          <w:caps w:val="0"/>
          <w:noProof/>
          <w:sz w:val="22"/>
          <w:szCs w:val="22"/>
          <w:lang w:val="en-US"/>
        </w:rPr>
      </w:pPr>
      <w:hyperlink w:anchor="_Toc20839537" w:history="1">
        <w:r w:rsidRPr="0060217D">
          <w:rPr>
            <w:rStyle w:val="Hyperlink"/>
            <w:rFonts w:cstheme="minorHAnsi"/>
            <w:noProof/>
          </w:rPr>
          <w:t>2.</w:t>
        </w:r>
        <w:r>
          <w:rPr>
            <w:rFonts w:asciiTheme="minorHAnsi" w:eastAsiaTheme="minorEastAsia" w:hAnsiTheme="minorHAnsi" w:cstheme="minorBidi"/>
            <w:b w:val="0"/>
            <w:bCs w:val="0"/>
            <w:caps w:val="0"/>
            <w:noProof/>
            <w:sz w:val="22"/>
            <w:szCs w:val="22"/>
            <w:lang w:val="en-US"/>
          </w:rPr>
          <w:tab/>
        </w:r>
        <w:r w:rsidRPr="0060217D">
          <w:rPr>
            <w:rStyle w:val="Hyperlink"/>
            <w:rFonts w:cstheme="minorHAnsi"/>
            <w:noProof/>
          </w:rPr>
          <w:t>ENA submission summary</w:t>
        </w:r>
        <w:r>
          <w:rPr>
            <w:noProof/>
            <w:webHidden/>
          </w:rPr>
          <w:tab/>
        </w:r>
        <w:r>
          <w:rPr>
            <w:noProof/>
            <w:webHidden/>
          </w:rPr>
          <w:fldChar w:fldCharType="begin"/>
        </w:r>
        <w:r>
          <w:rPr>
            <w:noProof/>
            <w:webHidden/>
          </w:rPr>
          <w:instrText xml:space="preserve"> PAGEREF _Toc20839537 \h </w:instrText>
        </w:r>
        <w:r>
          <w:rPr>
            <w:noProof/>
            <w:webHidden/>
          </w:rPr>
        </w:r>
        <w:r>
          <w:rPr>
            <w:noProof/>
            <w:webHidden/>
          </w:rPr>
          <w:fldChar w:fldCharType="separate"/>
        </w:r>
        <w:r>
          <w:rPr>
            <w:noProof/>
            <w:webHidden/>
          </w:rPr>
          <w:t>3</w:t>
        </w:r>
        <w:r>
          <w:rPr>
            <w:noProof/>
            <w:webHidden/>
          </w:rPr>
          <w:fldChar w:fldCharType="end"/>
        </w:r>
      </w:hyperlink>
    </w:p>
    <w:p w14:paraId="2D109B35" w14:textId="4E8854D3" w:rsidR="0082133B" w:rsidRDefault="0082133B">
      <w:pPr>
        <w:pStyle w:val="TOC1"/>
        <w:tabs>
          <w:tab w:val="left" w:pos="440"/>
          <w:tab w:val="right" w:leader="dot" w:pos="9054"/>
        </w:tabs>
        <w:rPr>
          <w:rFonts w:asciiTheme="minorHAnsi" w:eastAsiaTheme="minorEastAsia" w:hAnsiTheme="minorHAnsi" w:cstheme="minorBidi"/>
          <w:b w:val="0"/>
          <w:bCs w:val="0"/>
          <w:caps w:val="0"/>
          <w:noProof/>
          <w:sz w:val="22"/>
          <w:szCs w:val="22"/>
          <w:lang w:val="en-US"/>
        </w:rPr>
      </w:pPr>
      <w:hyperlink w:anchor="_Toc20839538" w:history="1">
        <w:r w:rsidRPr="0060217D">
          <w:rPr>
            <w:rStyle w:val="Hyperlink"/>
            <w:rFonts w:cstheme="minorHAnsi"/>
            <w:noProof/>
          </w:rPr>
          <w:t>3.</w:t>
        </w:r>
        <w:r>
          <w:rPr>
            <w:rFonts w:asciiTheme="minorHAnsi" w:eastAsiaTheme="minorEastAsia" w:hAnsiTheme="minorHAnsi" w:cstheme="minorBidi"/>
            <w:b w:val="0"/>
            <w:bCs w:val="0"/>
            <w:caps w:val="0"/>
            <w:noProof/>
            <w:sz w:val="22"/>
            <w:szCs w:val="22"/>
            <w:lang w:val="en-US"/>
          </w:rPr>
          <w:tab/>
        </w:r>
        <w:r w:rsidRPr="0060217D">
          <w:rPr>
            <w:rStyle w:val="Hyperlink"/>
            <w:rFonts w:cstheme="minorHAnsi"/>
            <w:noProof/>
          </w:rPr>
          <w:t>A proposal to change the TPM</w:t>
        </w:r>
        <w:r>
          <w:rPr>
            <w:noProof/>
            <w:webHidden/>
          </w:rPr>
          <w:tab/>
        </w:r>
        <w:r>
          <w:rPr>
            <w:noProof/>
            <w:webHidden/>
          </w:rPr>
          <w:fldChar w:fldCharType="begin"/>
        </w:r>
        <w:r>
          <w:rPr>
            <w:noProof/>
            <w:webHidden/>
          </w:rPr>
          <w:instrText xml:space="preserve"> PAGEREF _Toc20839538 \h </w:instrText>
        </w:r>
        <w:r>
          <w:rPr>
            <w:noProof/>
            <w:webHidden/>
          </w:rPr>
        </w:r>
        <w:r>
          <w:rPr>
            <w:noProof/>
            <w:webHidden/>
          </w:rPr>
          <w:fldChar w:fldCharType="separate"/>
        </w:r>
        <w:r>
          <w:rPr>
            <w:noProof/>
            <w:webHidden/>
          </w:rPr>
          <w:t>7</w:t>
        </w:r>
        <w:r>
          <w:rPr>
            <w:noProof/>
            <w:webHidden/>
          </w:rPr>
          <w:fldChar w:fldCharType="end"/>
        </w:r>
      </w:hyperlink>
    </w:p>
    <w:p w14:paraId="711F0124" w14:textId="421198BB" w:rsidR="0082133B" w:rsidRDefault="0082133B">
      <w:pPr>
        <w:pStyle w:val="TOC2"/>
        <w:tabs>
          <w:tab w:val="left" w:pos="660"/>
          <w:tab w:val="right" w:leader="dot" w:pos="9054"/>
        </w:tabs>
        <w:rPr>
          <w:rFonts w:eastAsiaTheme="minorEastAsia" w:cstheme="minorBidi"/>
          <w:b w:val="0"/>
          <w:bCs w:val="0"/>
          <w:noProof/>
          <w:sz w:val="22"/>
          <w:szCs w:val="22"/>
          <w:lang w:val="en-US"/>
        </w:rPr>
      </w:pPr>
      <w:hyperlink w:anchor="_Toc20839539" w:history="1">
        <w:r w:rsidRPr="0060217D">
          <w:rPr>
            <w:rStyle w:val="Hyperlink"/>
            <w:noProof/>
          </w:rPr>
          <w:t>3.1</w:t>
        </w:r>
        <w:r>
          <w:rPr>
            <w:rFonts w:eastAsiaTheme="minorEastAsia" w:cstheme="minorBidi"/>
            <w:b w:val="0"/>
            <w:bCs w:val="0"/>
            <w:noProof/>
            <w:sz w:val="22"/>
            <w:szCs w:val="22"/>
            <w:lang w:val="en-US"/>
          </w:rPr>
          <w:tab/>
        </w:r>
        <w:r w:rsidRPr="0060217D">
          <w:rPr>
            <w:rStyle w:val="Hyperlink"/>
            <w:noProof/>
          </w:rPr>
          <w:t>Transmission pricing problems</w:t>
        </w:r>
        <w:r>
          <w:rPr>
            <w:noProof/>
            <w:webHidden/>
          </w:rPr>
          <w:tab/>
        </w:r>
        <w:r>
          <w:rPr>
            <w:noProof/>
            <w:webHidden/>
          </w:rPr>
          <w:fldChar w:fldCharType="begin"/>
        </w:r>
        <w:r>
          <w:rPr>
            <w:noProof/>
            <w:webHidden/>
          </w:rPr>
          <w:instrText xml:space="preserve"> PAGEREF _Toc20839539 \h </w:instrText>
        </w:r>
        <w:r>
          <w:rPr>
            <w:noProof/>
            <w:webHidden/>
          </w:rPr>
        </w:r>
        <w:r>
          <w:rPr>
            <w:noProof/>
            <w:webHidden/>
          </w:rPr>
          <w:fldChar w:fldCharType="separate"/>
        </w:r>
        <w:r>
          <w:rPr>
            <w:noProof/>
            <w:webHidden/>
          </w:rPr>
          <w:t>7</w:t>
        </w:r>
        <w:r>
          <w:rPr>
            <w:noProof/>
            <w:webHidden/>
          </w:rPr>
          <w:fldChar w:fldCharType="end"/>
        </w:r>
      </w:hyperlink>
    </w:p>
    <w:p w14:paraId="4D7BA775" w14:textId="36673FF4" w:rsidR="0082133B" w:rsidRDefault="0082133B">
      <w:pPr>
        <w:pStyle w:val="TOC2"/>
        <w:tabs>
          <w:tab w:val="left" w:pos="660"/>
          <w:tab w:val="right" w:leader="dot" w:pos="9054"/>
        </w:tabs>
        <w:rPr>
          <w:rFonts w:eastAsiaTheme="minorEastAsia" w:cstheme="minorBidi"/>
          <w:b w:val="0"/>
          <w:bCs w:val="0"/>
          <w:noProof/>
          <w:sz w:val="22"/>
          <w:szCs w:val="22"/>
          <w:lang w:val="en-US"/>
        </w:rPr>
      </w:pPr>
      <w:hyperlink w:anchor="_Toc20839540" w:history="1">
        <w:r w:rsidRPr="0060217D">
          <w:rPr>
            <w:rStyle w:val="Hyperlink"/>
            <w:noProof/>
          </w:rPr>
          <w:t>3.2</w:t>
        </w:r>
        <w:r>
          <w:rPr>
            <w:rFonts w:eastAsiaTheme="minorEastAsia" w:cstheme="minorBidi"/>
            <w:b w:val="0"/>
            <w:bCs w:val="0"/>
            <w:noProof/>
            <w:sz w:val="22"/>
            <w:szCs w:val="22"/>
            <w:lang w:val="en-US"/>
          </w:rPr>
          <w:tab/>
        </w:r>
        <w:r w:rsidRPr="0060217D">
          <w:rPr>
            <w:rStyle w:val="Hyperlink"/>
            <w:noProof/>
          </w:rPr>
          <w:t>Low fixed charge regulations inhibit pass-through</w:t>
        </w:r>
        <w:r>
          <w:rPr>
            <w:noProof/>
            <w:webHidden/>
          </w:rPr>
          <w:tab/>
        </w:r>
        <w:r>
          <w:rPr>
            <w:noProof/>
            <w:webHidden/>
          </w:rPr>
          <w:fldChar w:fldCharType="begin"/>
        </w:r>
        <w:r>
          <w:rPr>
            <w:noProof/>
            <w:webHidden/>
          </w:rPr>
          <w:instrText xml:space="preserve"> PAGEREF _Toc20839540 \h </w:instrText>
        </w:r>
        <w:r>
          <w:rPr>
            <w:noProof/>
            <w:webHidden/>
          </w:rPr>
        </w:r>
        <w:r>
          <w:rPr>
            <w:noProof/>
            <w:webHidden/>
          </w:rPr>
          <w:fldChar w:fldCharType="separate"/>
        </w:r>
        <w:r>
          <w:rPr>
            <w:noProof/>
            <w:webHidden/>
          </w:rPr>
          <w:t>8</w:t>
        </w:r>
        <w:r>
          <w:rPr>
            <w:noProof/>
            <w:webHidden/>
          </w:rPr>
          <w:fldChar w:fldCharType="end"/>
        </w:r>
      </w:hyperlink>
    </w:p>
    <w:p w14:paraId="1BD40434" w14:textId="2267FCEA" w:rsidR="0082133B" w:rsidRDefault="0082133B">
      <w:pPr>
        <w:pStyle w:val="TOC2"/>
        <w:tabs>
          <w:tab w:val="left" w:pos="660"/>
          <w:tab w:val="right" w:leader="dot" w:pos="9054"/>
        </w:tabs>
        <w:rPr>
          <w:rFonts w:eastAsiaTheme="minorEastAsia" w:cstheme="minorBidi"/>
          <w:b w:val="0"/>
          <w:bCs w:val="0"/>
          <w:noProof/>
          <w:sz w:val="22"/>
          <w:szCs w:val="22"/>
          <w:lang w:val="en-US"/>
        </w:rPr>
      </w:pPr>
      <w:hyperlink w:anchor="_Toc20839541" w:history="1">
        <w:r w:rsidRPr="0060217D">
          <w:rPr>
            <w:rStyle w:val="Hyperlink"/>
            <w:noProof/>
          </w:rPr>
          <w:t>3.3</w:t>
        </w:r>
        <w:r>
          <w:rPr>
            <w:rFonts w:eastAsiaTheme="minorEastAsia" w:cstheme="minorBidi"/>
            <w:b w:val="0"/>
            <w:bCs w:val="0"/>
            <w:noProof/>
            <w:sz w:val="22"/>
            <w:szCs w:val="22"/>
            <w:lang w:val="en-US"/>
          </w:rPr>
          <w:tab/>
        </w:r>
        <w:r w:rsidRPr="0060217D">
          <w:rPr>
            <w:rStyle w:val="Hyperlink"/>
            <w:noProof/>
          </w:rPr>
          <w:t>TPM components</w:t>
        </w:r>
        <w:r>
          <w:rPr>
            <w:noProof/>
            <w:webHidden/>
          </w:rPr>
          <w:tab/>
        </w:r>
        <w:r>
          <w:rPr>
            <w:noProof/>
            <w:webHidden/>
          </w:rPr>
          <w:fldChar w:fldCharType="begin"/>
        </w:r>
        <w:r>
          <w:rPr>
            <w:noProof/>
            <w:webHidden/>
          </w:rPr>
          <w:instrText xml:space="preserve"> PAGEREF _Toc20839541 \h </w:instrText>
        </w:r>
        <w:r>
          <w:rPr>
            <w:noProof/>
            <w:webHidden/>
          </w:rPr>
        </w:r>
        <w:r>
          <w:rPr>
            <w:noProof/>
            <w:webHidden/>
          </w:rPr>
          <w:fldChar w:fldCharType="separate"/>
        </w:r>
        <w:r>
          <w:rPr>
            <w:noProof/>
            <w:webHidden/>
          </w:rPr>
          <w:t>8</w:t>
        </w:r>
        <w:r>
          <w:rPr>
            <w:noProof/>
            <w:webHidden/>
          </w:rPr>
          <w:fldChar w:fldCharType="end"/>
        </w:r>
      </w:hyperlink>
    </w:p>
    <w:p w14:paraId="2FB20A6B" w14:textId="238CBAD9" w:rsidR="0082133B" w:rsidRDefault="0082133B">
      <w:pPr>
        <w:pStyle w:val="TOC2"/>
        <w:tabs>
          <w:tab w:val="left" w:pos="660"/>
          <w:tab w:val="right" w:leader="dot" w:pos="9054"/>
        </w:tabs>
        <w:rPr>
          <w:rFonts w:eastAsiaTheme="minorEastAsia" w:cstheme="minorBidi"/>
          <w:b w:val="0"/>
          <w:bCs w:val="0"/>
          <w:noProof/>
          <w:sz w:val="22"/>
          <w:szCs w:val="22"/>
          <w:lang w:val="en-US"/>
        </w:rPr>
      </w:pPr>
      <w:hyperlink w:anchor="_Toc20839542" w:history="1">
        <w:r w:rsidRPr="0060217D">
          <w:rPr>
            <w:rStyle w:val="Hyperlink"/>
            <w:noProof/>
          </w:rPr>
          <w:t>3.4</w:t>
        </w:r>
        <w:r>
          <w:rPr>
            <w:rFonts w:eastAsiaTheme="minorEastAsia" w:cstheme="minorBidi"/>
            <w:b w:val="0"/>
            <w:bCs w:val="0"/>
            <w:noProof/>
            <w:sz w:val="22"/>
            <w:szCs w:val="22"/>
            <w:lang w:val="en-US"/>
          </w:rPr>
          <w:tab/>
        </w:r>
        <w:r w:rsidRPr="0060217D">
          <w:rPr>
            <w:rStyle w:val="Hyperlink"/>
            <w:noProof/>
          </w:rPr>
          <w:t>Process and durability</w:t>
        </w:r>
        <w:r>
          <w:rPr>
            <w:noProof/>
            <w:webHidden/>
          </w:rPr>
          <w:tab/>
        </w:r>
        <w:r>
          <w:rPr>
            <w:noProof/>
            <w:webHidden/>
          </w:rPr>
          <w:fldChar w:fldCharType="begin"/>
        </w:r>
        <w:r>
          <w:rPr>
            <w:noProof/>
            <w:webHidden/>
          </w:rPr>
          <w:instrText xml:space="preserve"> PAGEREF _Toc20839542 \h </w:instrText>
        </w:r>
        <w:r>
          <w:rPr>
            <w:noProof/>
            <w:webHidden/>
          </w:rPr>
        </w:r>
        <w:r>
          <w:rPr>
            <w:noProof/>
            <w:webHidden/>
          </w:rPr>
          <w:fldChar w:fldCharType="separate"/>
        </w:r>
        <w:r>
          <w:rPr>
            <w:noProof/>
            <w:webHidden/>
          </w:rPr>
          <w:t>11</w:t>
        </w:r>
        <w:r>
          <w:rPr>
            <w:noProof/>
            <w:webHidden/>
          </w:rPr>
          <w:fldChar w:fldCharType="end"/>
        </w:r>
      </w:hyperlink>
    </w:p>
    <w:p w14:paraId="5C46884E" w14:textId="0271FA26" w:rsidR="0082133B" w:rsidRDefault="0082133B">
      <w:pPr>
        <w:pStyle w:val="TOC2"/>
        <w:tabs>
          <w:tab w:val="left" w:pos="660"/>
          <w:tab w:val="right" w:leader="dot" w:pos="9054"/>
        </w:tabs>
        <w:rPr>
          <w:rFonts w:eastAsiaTheme="minorEastAsia" w:cstheme="minorBidi"/>
          <w:b w:val="0"/>
          <w:bCs w:val="0"/>
          <w:noProof/>
          <w:sz w:val="22"/>
          <w:szCs w:val="22"/>
          <w:lang w:val="en-US"/>
        </w:rPr>
      </w:pPr>
      <w:hyperlink w:anchor="_Toc20839543" w:history="1">
        <w:r w:rsidRPr="0060217D">
          <w:rPr>
            <w:rStyle w:val="Hyperlink"/>
            <w:noProof/>
          </w:rPr>
          <w:t>3.5</w:t>
        </w:r>
        <w:r>
          <w:rPr>
            <w:rFonts w:eastAsiaTheme="minorEastAsia" w:cstheme="minorBidi"/>
            <w:b w:val="0"/>
            <w:bCs w:val="0"/>
            <w:noProof/>
            <w:sz w:val="22"/>
            <w:szCs w:val="22"/>
            <w:lang w:val="en-US"/>
          </w:rPr>
          <w:tab/>
        </w:r>
        <w:r w:rsidRPr="0060217D">
          <w:rPr>
            <w:rStyle w:val="Hyperlink"/>
            <w:noProof/>
          </w:rPr>
          <w:t>Concluding comments</w:t>
        </w:r>
        <w:r>
          <w:rPr>
            <w:noProof/>
            <w:webHidden/>
          </w:rPr>
          <w:tab/>
        </w:r>
        <w:r>
          <w:rPr>
            <w:noProof/>
            <w:webHidden/>
          </w:rPr>
          <w:fldChar w:fldCharType="begin"/>
        </w:r>
        <w:r>
          <w:rPr>
            <w:noProof/>
            <w:webHidden/>
          </w:rPr>
          <w:instrText xml:space="preserve"> PAGEREF _Toc20839543 \h </w:instrText>
        </w:r>
        <w:r>
          <w:rPr>
            <w:noProof/>
            <w:webHidden/>
          </w:rPr>
        </w:r>
        <w:r>
          <w:rPr>
            <w:noProof/>
            <w:webHidden/>
          </w:rPr>
          <w:fldChar w:fldCharType="separate"/>
        </w:r>
        <w:r>
          <w:rPr>
            <w:noProof/>
            <w:webHidden/>
          </w:rPr>
          <w:t>13</w:t>
        </w:r>
        <w:r>
          <w:rPr>
            <w:noProof/>
            <w:webHidden/>
          </w:rPr>
          <w:fldChar w:fldCharType="end"/>
        </w:r>
      </w:hyperlink>
    </w:p>
    <w:p w14:paraId="18E80596" w14:textId="7689DA52" w:rsidR="0082133B" w:rsidRDefault="0082133B">
      <w:pPr>
        <w:pStyle w:val="TOC1"/>
        <w:tabs>
          <w:tab w:val="left" w:pos="440"/>
          <w:tab w:val="right" w:leader="dot" w:pos="9054"/>
        </w:tabs>
        <w:rPr>
          <w:rFonts w:asciiTheme="minorHAnsi" w:eastAsiaTheme="minorEastAsia" w:hAnsiTheme="minorHAnsi" w:cstheme="minorBidi"/>
          <w:b w:val="0"/>
          <w:bCs w:val="0"/>
          <w:caps w:val="0"/>
          <w:noProof/>
          <w:sz w:val="22"/>
          <w:szCs w:val="22"/>
          <w:lang w:val="en-US"/>
        </w:rPr>
      </w:pPr>
      <w:hyperlink w:anchor="_Toc20839544" w:history="1">
        <w:r w:rsidRPr="0060217D">
          <w:rPr>
            <w:rStyle w:val="Hyperlink"/>
            <w:rFonts w:cstheme="minorHAnsi"/>
            <w:noProof/>
          </w:rPr>
          <w:t>4.</w:t>
        </w:r>
        <w:r>
          <w:rPr>
            <w:rFonts w:asciiTheme="minorHAnsi" w:eastAsiaTheme="minorEastAsia" w:hAnsiTheme="minorHAnsi" w:cstheme="minorBidi"/>
            <w:b w:val="0"/>
            <w:bCs w:val="0"/>
            <w:caps w:val="0"/>
            <w:noProof/>
            <w:sz w:val="22"/>
            <w:szCs w:val="22"/>
            <w:lang w:val="en-US"/>
          </w:rPr>
          <w:tab/>
        </w:r>
        <w:r w:rsidRPr="0060217D">
          <w:rPr>
            <w:rStyle w:val="Hyperlink"/>
            <w:rFonts w:cstheme="minorHAnsi"/>
            <w:noProof/>
          </w:rPr>
          <w:t>Appendix 1</w:t>
        </w:r>
        <w:r>
          <w:rPr>
            <w:noProof/>
            <w:webHidden/>
          </w:rPr>
          <w:tab/>
        </w:r>
        <w:r>
          <w:rPr>
            <w:noProof/>
            <w:webHidden/>
          </w:rPr>
          <w:fldChar w:fldCharType="begin"/>
        </w:r>
        <w:r>
          <w:rPr>
            <w:noProof/>
            <w:webHidden/>
          </w:rPr>
          <w:instrText xml:space="preserve"> PAGEREF _Toc20839544 \h </w:instrText>
        </w:r>
        <w:r>
          <w:rPr>
            <w:noProof/>
            <w:webHidden/>
          </w:rPr>
        </w:r>
        <w:r>
          <w:rPr>
            <w:noProof/>
            <w:webHidden/>
          </w:rPr>
          <w:fldChar w:fldCharType="separate"/>
        </w:r>
        <w:r>
          <w:rPr>
            <w:noProof/>
            <w:webHidden/>
          </w:rPr>
          <w:t>14</w:t>
        </w:r>
        <w:r>
          <w:rPr>
            <w:noProof/>
            <w:webHidden/>
          </w:rPr>
          <w:fldChar w:fldCharType="end"/>
        </w:r>
      </w:hyperlink>
    </w:p>
    <w:p w14:paraId="763BDFA5" w14:textId="4FC09AE3" w:rsidR="004368A1" w:rsidRPr="003E7F38" w:rsidRDefault="004368A1" w:rsidP="004368A1">
      <w:pPr>
        <w:rPr>
          <w:rFonts w:cstheme="minorHAnsi"/>
          <w:sz w:val="22"/>
        </w:rPr>
      </w:pPr>
      <w:r w:rsidRPr="003E7F38">
        <w:rPr>
          <w:rFonts w:cstheme="minorHAnsi"/>
          <w:sz w:val="22"/>
        </w:rPr>
        <w:fldChar w:fldCharType="end"/>
      </w:r>
      <w:r w:rsidRPr="003E7F38">
        <w:rPr>
          <w:rFonts w:cstheme="minorHAnsi"/>
          <w:sz w:val="22"/>
        </w:rPr>
        <w:br w:type="page"/>
      </w:r>
    </w:p>
    <w:p w14:paraId="71FFB5CC" w14:textId="77777777" w:rsidR="005E38EF" w:rsidRPr="003E7F38" w:rsidRDefault="005E38EF" w:rsidP="007B3D52">
      <w:pPr>
        <w:pStyle w:val="1Heading"/>
        <w:numPr>
          <w:ilvl w:val="0"/>
          <w:numId w:val="4"/>
        </w:numPr>
        <w:tabs>
          <w:tab w:val="clear" w:pos="851"/>
        </w:tabs>
        <w:spacing w:before="240"/>
        <w:ind w:left="450" w:hanging="450"/>
        <w:rPr>
          <w:rFonts w:asciiTheme="minorHAnsi" w:hAnsiTheme="minorHAnsi" w:cstheme="minorHAnsi"/>
        </w:rPr>
      </w:pPr>
      <w:bookmarkStart w:id="0" w:name="_Toc20839536"/>
      <w:r w:rsidRPr="003E7F38">
        <w:rPr>
          <w:rFonts w:asciiTheme="minorHAnsi" w:hAnsiTheme="minorHAnsi" w:cstheme="minorHAnsi"/>
        </w:rPr>
        <w:lastRenderedPageBreak/>
        <w:t>Introduction</w:t>
      </w:r>
      <w:bookmarkEnd w:id="0"/>
    </w:p>
    <w:p w14:paraId="79EE52DC" w14:textId="19624A45" w:rsidR="005E38EF" w:rsidRPr="003E7F38" w:rsidRDefault="005E38EF" w:rsidP="005E38EF">
      <w:pPr>
        <w:pStyle w:val="UnnumtextBodytext"/>
        <w:numPr>
          <w:ilvl w:val="0"/>
          <w:numId w:val="8"/>
        </w:numPr>
        <w:ind w:left="450" w:hanging="450"/>
        <w:rPr>
          <w:rFonts w:cstheme="minorHAnsi"/>
        </w:rPr>
      </w:pPr>
      <w:r w:rsidRPr="003E7F38">
        <w:rPr>
          <w:rFonts w:cstheme="minorHAnsi"/>
        </w:rPr>
        <w:t>The Electricity Networks Association (ENA) appreciates the opportunity to make a submission to the Electricity Authority</w:t>
      </w:r>
      <w:r w:rsidR="000832A7" w:rsidRPr="003E7F38">
        <w:rPr>
          <w:rFonts w:cstheme="minorHAnsi"/>
        </w:rPr>
        <w:t xml:space="preserve"> (</w:t>
      </w:r>
      <w:r w:rsidR="00772B00" w:rsidRPr="003E7F38">
        <w:rPr>
          <w:rFonts w:cstheme="minorHAnsi"/>
        </w:rPr>
        <w:t xml:space="preserve">the Authority) </w:t>
      </w:r>
      <w:r w:rsidRPr="003E7F38">
        <w:rPr>
          <w:rFonts w:cstheme="minorHAnsi"/>
        </w:rPr>
        <w:t xml:space="preserve">in respect of the </w:t>
      </w:r>
      <w:r w:rsidRPr="003E7F38">
        <w:rPr>
          <w:rFonts w:cstheme="minorHAnsi"/>
          <w:b/>
        </w:rPr>
        <w:t>201</w:t>
      </w:r>
      <w:r w:rsidR="0063612C">
        <w:rPr>
          <w:rFonts w:cstheme="minorHAnsi"/>
          <w:b/>
        </w:rPr>
        <w:t>9</w:t>
      </w:r>
      <w:r w:rsidRPr="003E7F38">
        <w:rPr>
          <w:rFonts w:cstheme="minorHAnsi"/>
          <w:b/>
        </w:rPr>
        <w:t xml:space="preserve"> Transmission Pricing </w:t>
      </w:r>
      <w:r w:rsidR="00F20CD1" w:rsidRPr="003E7F38">
        <w:rPr>
          <w:rFonts w:cstheme="minorHAnsi"/>
          <w:b/>
        </w:rPr>
        <w:t xml:space="preserve">Methodology </w:t>
      </w:r>
      <w:r w:rsidR="0063612C">
        <w:rPr>
          <w:rFonts w:cstheme="minorHAnsi"/>
          <w:b/>
        </w:rPr>
        <w:t xml:space="preserve">Issues </w:t>
      </w:r>
      <w:r w:rsidR="00517294">
        <w:rPr>
          <w:rFonts w:cstheme="minorHAnsi"/>
          <w:b/>
        </w:rPr>
        <w:t>P</w:t>
      </w:r>
      <w:r w:rsidR="0063612C">
        <w:rPr>
          <w:rFonts w:cstheme="minorHAnsi"/>
          <w:b/>
        </w:rPr>
        <w:t>aper</w:t>
      </w:r>
      <w:r w:rsidR="00F20CD1" w:rsidRPr="003E7F38">
        <w:rPr>
          <w:rFonts w:cstheme="minorHAnsi"/>
          <w:b/>
        </w:rPr>
        <w:t xml:space="preserve"> consultation</w:t>
      </w:r>
      <w:r w:rsidRPr="003E7F38">
        <w:rPr>
          <w:rFonts w:cstheme="minorHAnsi"/>
          <w:b/>
        </w:rPr>
        <w:t xml:space="preserve"> (TPM</w:t>
      </w:r>
      <w:r w:rsidR="0063612C">
        <w:rPr>
          <w:rFonts w:cstheme="minorHAnsi"/>
          <w:b/>
        </w:rPr>
        <w:t>3</w:t>
      </w:r>
      <w:r w:rsidRPr="003E7F38">
        <w:rPr>
          <w:rFonts w:cstheme="minorHAnsi"/>
          <w:b/>
        </w:rPr>
        <w:t>).</w:t>
      </w:r>
    </w:p>
    <w:p w14:paraId="46EDB696" w14:textId="546BDFA9" w:rsidR="005E38EF" w:rsidRPr="003E7F38" w:rsidRDefault="005E38EF" w:rsidP="005E38EF">
      <w:pPr>
        <w:pStyle w:val="UnnumtextBodytext"/>
        <w:numPr>
          <w:ilvl w:val="0"/>
          <w:numId w:val="8"/>
        </w:numPr>
        <w:ind w:left="450" w:hanging="450"/>
        <w:rPr>
          <w:rFonts w:cstheme="minorHAnsi"/>
        </w:rPr>
      </w:pPr>
      <w:r w:rsidRPr="003E7F38">
        <w:rPr>
          <w:rFonts w:cstheme="minorHAnsi"/>
        </w:rPr>
        <w:t>The ENA r</w:t>
      </w:r>
      <w:r w:rsidR="00D543DF" w:rsidRPr="003E7F38">
        <w:rPr>
          <w:rFonts w:cstheme="minorHAnsi"/>
        </w:rPr>
        <w:t xml:space="preserve">epresents </w:t>
      </w:r>
      <w:r w:rsidRPr="003E7F38">
        <w:rPr>
          <w:rFonts w:cstheme="minorHAnsi"/>
        </w:rPr>
        <w:t>New Zealand's 2</w:t>
      </w:r>
      <w:r w:rsidR="00853985" w:rsidRPr="003E7F38">
        <w:rPr>
          <w:rFonts w:cstheme="minorHAnsi"/>
        </w:rPr>
        <w:t>9</w:t>
      </w:r>
      <w:r w:rsidRPr="003E7F38">
        <w:rPr>
          <w:rFonts w:cstheme="minorHAnsi"/>
        </w:rPr>
        <w:t xml:space="preserve"> electricity distribution businesses (EDBs) or lines companies, who provide critical infrastructure to NZ residential and business customers.  Apart from a small number of major industrial users connected directly to the national grid and embedded networks (which are themselves connected to an EDB network)</w:t>
      </w:r>
      <w:r w:rsidR="00824633" w:rsidRPr="003E7F38">
        <w:rPr>
          <w:rFonts w:cstheme="minorHAnsi"/>
        </w:rPr>
        <w:t>,</w:t>
      </w:r>
      <w:r w:rsidRPr="003E7F38">
        <w:rPr>
          <w:rFonts w:cstheme="minorHAnsi"/>
        </w:rPr>
        <w:t xml:space="preserve"> electricity consumers are connected to a distribution network operated by an ENA member, distributing power to consumers through regional networks of overhead wires and underground cables.  Together, EDB networks total 150,000 km of lines.  Some of the largest distribution network companies are at least partially publicly listed or privately owned, or owned by local government, but most are consumer or community t</w:t>
      </w:r>
      <w:r w:rsidR="00F560B4" w:rsidRPr="003E7F38">
        <w:rPr>
          <w:rFonts w:cstheme="minorHAnsi"/>
        </w:rPr>
        <w:t>rust owned</w:t>
      </w:r>
      <w:r w:rsidRPr="003E7F38">
        <w:rPr>
          <w:rFonts w:cstheme="minorHAnsi"/>
        </w:rPr>
        <w:t>.</w:t>
      </w:r>
    </w:p>
    <w:p w14:paraId="28826B4A" w14:textId="02F03876" w:rsidR="005E38EF" w:rsidRPr="003E7F38" w:rsidRDefault="0093450E" w:rsidP="007B3D52">
      <w:pPr>
        <w:pStyle w:val="1Heading"/>
        <w:pageBreakBefore w:val="0"/>
        <w:numPr>
          <w:ilvl w:val="0"/>
          <w:numId w:val="4"/>
        </w:numPr>
        <w:tabs>
          <w:tab w:val="clear" w:pos="851"/>
        </w:tabs>
        <w:spacing w:before="240"/>
        <w:ind w:left="450" w:hanging="450"/>
        <w:rPr>
          <w:rFonts w:asciiTheme="minorHAnsi" w:hAnsiTheme="minorHAnsi" w:cstheme="minorHAnsi"/>
        </w:rPr>
      </w:pPr>
      <w:bookmarkStart w:id="1" w:name="_Toc20839537"/>
      <w:r>
        <w:rPr>
          <w:rFonts w:asciiTheme="minorHAnsi" w:hAnsiTheme="minorHAnsi" w:cstheme="minorHAnsi"/>
        </w:rPr>
        <w:t>ENA s</w:t>
      </w:r>
      <w:r w:rsidR="003B1568" w:rsidRPr="003E7F38">
        <w:rPr>
          <w:rFonts w:asciiTheme="minorHAnsi" w:hAnsiTheme="minorHAnsi" w:cstheme="minorHAnsi"/>
        </w:rPr>
        <w:t>ubmission s</w:t>
      </w:r>
      <w:r w:rsidR="004B3539" w:rsidRPr="003E7F38">
        <w:rPr>
          <w:rFonts w:asciiTheme="minorHAnsi" w:hAnsiTheme="minorHAnsi" w:cstheme="minorHAnsi"/>
        </w:rPr>
        <w:t>ummary</w:t>
      </w:r>
      <w:bookmarkEnd w:id="1"/>
    </w:p>
    <w:p w14:paraId="3000A690" w14:textId="01D4DFF8" w:rsidR="000C0CF1" w:rsidRDefault="000C0CF1" w:rsidP="0030490C">
      <w:pPr>
        <w:pStyle w:val="UnnumtextBodytext"/>
        <w:numPr>
          <w:ilvl w:val="0"/>
          <w:numId w:val="8"/>
        </w:numPr>
        <w:ind w:left="450" w:hanging="450"/>
        <w:rPr>
          <w:rFonts w:cstheme="minorHAnsi"/>
        </w:rPr>
      </w:pPr>
      <w:r>
        <w:rPr>
          <w:rFonts w:cstheme="minorHAnsi"/>
        </w:rPr>
        <w:t xml:space="preserve">We </w:t>
      </w:r>
      <w:r w:rsidR="00A5147E">
        <w:rPr>
          <w:rFonts w:cstheme="minorHAnsi"/>
        </w:rPr>
        <w:t xml:space="preserve">understand that the components of </w:t>
      </w:r>
      <w:r w:rsidR="00326AB7">
        <w:rPr>
          <w:rFonts w:cstheme="minorHAnsi"/>
        </w:rPr>
        <w:t xml:space="preserve">the </w:t>
      </w:r>
      <w:r w:rsidR="00A5147E">
        <w:rPr>
          <w:rFonts w:cstheme="minorHAnsi"/>
        </w:rPr>
        <w:t>TPM3</w:t>
      </w:r>
      <w:r w:rsidR="00326AB7">
        <w:rPr>
          <w:rFonts w:cstheme="minorHAnsi"/>
        </w:rPr>
        <w:t xml:space="preserve"> proposal</w:t>
      </w:r>
      <w:r w:rsidR="00A5147E">
        <w:rPr>
          <w:rFonts w:cstheme="minorHAnsi"/>
        </w:rPr>
        <w:t xml:space="preserve"> have changed from the</w:t>
      </w:r>
      <w:r w:rsidR="00326AB7">
        <w:rPr>
          <w:rFonts w:cstheme="minorHAnsi"/>
        </w:rPr>
        <w:t xml:space="preserve"> previous</w:t>
      </w:r>
      <w:r w:rsidR="00A5147E">
        <w:rPr>
          <w:rFonts w:cstheme="minorHAnsi"/>
        </w:rPr>
        <w:t xml:space="preserve"> 2016 proposal (TPM2) and the supplementary consultation proposal that followed in February 2017.</w:t>
      </w:r>
      <w:r>
        <w:rPr>
          <w:rFonts w:cstheme="minorHAnsi"/>
        </w:rPr>
        <w:t xml:space="preserve"> </w:t>
      </w:r>
    </w:p>
    <w:p w14:paraId="1660C835" w14:textId="6E6AC9F2" w:rsidR="000C0CF1" w:rsidRDefault="00C033C2" w:rsidP="0030490C">
      <w:pPr>
        <w:pStyle w:val="UnnumtextBodytext"/>
        <w:numPr>
          <w:ilvl w:val="0"/>
          <w:numId w:val="8"/>
        </w:numPr>
        <w:ind w:left="450" w:hanging="450"/>
        <w:rPr>
          <w:rFonts w:cstheme="minorHAnsi"/>
        </w:rPr>
      </w:pPr>
      <w:r>
        <w:rPr>
          <w:rFonts w:cstheme="minorHAnsi"/>
        </w:rPr>
        <w:t>T</w:t>
      </w:r>
      <w:r w:rsidR="00A5147E">
        <w:rPr>
          <w:rFonts w:cstheme="minorHAnsi"/>
        </w:rPr>
        <w:t>he Authority now proposes the following TPM</w:t>
      </w:r>
      <w:r w:rsidR="00B307EE">
        <w:rPr>
          <w:rFonts w:cstheme="minorHAnsi"/>
        </w:rPr>
        <w:t>3</w:t>
      </w:r>
      <w:r w:rsidR="00A5147E">
        <w:rPr>
          <w:rFonts w:cstheme="minorHAnsi"/>
        </w:rPr>
        <w:t xml:space="preserve"> components:</w:t>
      </w:r>
    </w:p>
    <w:p w14:paraId="065AE2F1" w14:textId="24409CA5" w:rsidR="0063612C" w:rsidRDefault="00E7144C" w:rsidP="00481CE9">
      <w:pPr>
        <w:pStyle w:val="UnnumtextBodytext"/>
        <w:numPr>
          <w:ilvl w:val="1"/>
          <w:numId w:val="8"/>
        </w:numPr>
        <w:ind w:left="990"/>
        <w:rPr>
          <w:rFonts w:cstheme="minorHAnsi"/>
        </w:rPr>
      </w:pPr>
      <w:r>
        <w:rPr>
          <w:rFonts w:cstheme="minorHAnsi"/>
        </w:rPr>
        <w:t>a</w:t>
      </w:r>
      <w:r w:rsidR="0063612C">
        <w:rPr>
          <w:rFonts w:cstheme="minorHAnsi"/>
        </w:rPr>
        <w:t xml:space="preserve"> connection charge to recover customer specific connection assets</w:t>
      </w:r>
    </w:p>
    <w:p w14:paraId="577B751E" w14:textId="77777777" w:rsidR="00B329D4" w:rsidRPr="00481CE9" w:rsidRDefault="00B329D4" w:rsidP="00B329D4">
      <w:pPr>
        <w:pStyle w:val="UnnumtextBodytext"/>
        <w:numPr>
          <w:ilvl w:val="1"/>
          <w:numId w:val="8"/>
        </w:numPr>
        <w:ind w:left="990"/>
        <w:rPr>
          <w:rFonts w:cstheme="minorHAnsi"/>
        </w:rPr>
      </w:pPr>
      <w:r w:rsidRPr="00481CE9">
        <w:rPr>
          <w:rFonts w:cstheme="minorHAnsi"/>
        </w:rPr>
        <w:t xml:space="preserve">a benefit-based charge on generation and load customers </w:t>
      </w:r>
      <w:r>
        <w:rPr>
          <w:rFonts w:cstheme="minorHAnsi"/>
        </w:rPr>
        <w:t xml:space="preserve">to recover costs of new grid investments and the depreciated costs of seven historic </w:t>
      </w:r>
      <w:r w:rsidRPr="00481CE9">
        <w:rPr>
          <w:rFonts w:cstheme="minorHAnsi"/>
        </w:rPr>
        <w:t xml:space="preserve">grid investments </w:t>
      </w:r>
    </w:p>
    <w:p w14:paraId="1152B135" w14:textId="5973B3E6" w:rsidR="00A26623" w:rsidRDefault="00A26623" w:rsidP="00481CE9">
      <w:pPr>
        <w:pStyle w:val="UnnumtextBodytext"/>
        <w:numPr>
          <w:ilvl w:val="1"/>
          <w:numId w:val="8"/>
        </w:numPr>
        <w:ind w:left="990"/>
        <w:rPr>
          <w:rFonts w:cstheme="minorHAnsi"/>
        </w:rPr>
      </w:pPr>
      <w:r w:rsidRPr="00481CE9">
        <w:rPr>
          <w:rFonts w:cstheme="minorHAnsi"/>
        </w:rPr>
        <w:t xml:space="preserve">a residual charge to recover remaining costs from load customers in a </w:t>
      </w:r>
      <w:r w:rsidR="0063612C">
        <w:rPr>
          <w:rFonts w:cstheme="minorHAnsi"/>
        </w:rPr>
        <w:t>least</w:t>
      </w:r>
      <w:r w:rsidRPr="00481CE9">
        <w:rPr>
          <w:rFonts w:cstheme="minorHAnsi"/>
        </w:rPr>
        <w:t>-distorting way.</w:t>
      </w:r>
    </w:p>
    <w:p w14:paraId="6BCB4AEF" w14:textId="2F4191E8" w:rsidR="00E7144C" w:rsidRDefault="00E7144C" w:rsidP="00481CE9">
      <w:pPr>
        <w:pStyle w:val="UnnumtextBodytext"/>
        <w:numPr>
          <w:ilvl w:val="1"/>
          <w:numId w:val="8"/>
        </w:numPr>
        <w:ind w:left="990"/>
        <w:rPr>
          <w:rFonts w:cstheme="minorHAnsi"/>
        </w:rPr>
      </w:pPr>
      <w:r>
        <w:rPr>
          <w:rFonts w:cstheme="minorHAnsi"/>
        </w:rPr>
        <w:t>Make the current PDP more flexible to avoid load disconnecting from the grid.</w:t>
      </w:r>
    </w:p>
    <w:p w14:paraId="01873339" w14:textId="5EC6F002" w:rsidR="00E7144C" w:rsidRDefault="00E7144C" w:rsidP="00481CE9">
      <w:pPr>
        <w:pStyle w:val="UnnumtextBodytext"/>
        <w:numPr>
          <w:ilvl w:val="1"/>
          <w:numId w:val="8"/>
        </w:numPr>
        <w:ind w:left="990"/>
        <w:rPr>
          <w:rFonts w:cstheme="minorHAnsi"/>
        </w:rPr>
      </w:pPr>
      <w:r>
        <w:rPr>
          <w:rFonts w:cstheme="minorHAnsi"/>
        </w:rPr>
        <w:t>Staged commissioning of the TPM over the life of transmission assets</w:t>
      </w:r>
    </w:p>
    <w:p w14:paraId="10F25FB6" w14:textId="406DE531" w:rsidR="00E7144C" w:rsidRDefault="00B307EE" w:rsidP="00481CE9">
      <w:pPr>
        <w:pStyle w:val="UnnumtextBodytext"/>
        <w:numPr>
          <w:ilvl w:val="1"/>
          <w:numId w:val="8"/>
        </w:numPr>
        <w:ind w:left="990"/>
        <w:rPr>
          <w:rFonts w:cstheme="minorHAnsi"/>
        </w:rPr>
      </w:pPr>
      <w:r>
        <w:rPr>
          <w:rFonts w:cstheme="minorHAnsi"/>
        </w:rPr>
        <w:t xml:space="preserve">Possibly </w:t>
      </w:r>
      <w:r w:rsidR="00E7144C">
        <w:rPr>
          <w:rFonts w:cstheme="minorHAnsi"/>
        </w:rPr>
        <w:t>a transitional peak charge</w:t>
      </w:r>
    </w:p>
    <w:p w14:paraId="0BF9D277" w14:textId="773FFC51" w:rsidR="00E7144C" w:rsidRDefault="00B307EE" w:rsidP="00481CE9">
      <w:pPr>
        <w:pStyle w:val="UnnumtextBodytext"/>
        <w:numPr>
          <w:ilvl w:val="1"/>
          <w:numId w:val="8"/>
        </w:numPr>
        <w:ind w:left="990"/>
        <w:rPr>
          <w:rFonts w:cstheme="minorHAnsi"/>
        </w:rPr>
      </w:pPr>
      <w:r>
        <w:rPr>
          <w:rFonts w:cstheme="minorHAnsi"/>
        </w:rPr>
        <w:t>A possible</w:t>
      </w:r>
      <w:r w:rsidR="00E7144C">
        <w:rPr>
          <w:rFonts w:cstheme="minorHAnsi"/>
        </w:rPr>
        <w:t xml:space="preserve"> extension to the benefits-based charge to include</w:t>
      </w:r>
      <w:r w:rsidR="00B329D4">
        <w:rPr>
          <w:rFonts w:cstheme="minorHAnsi"/>
        </w:rPr>
        <w:t xml:space="preserve"> additional</w:t>
      </w:r>
      <w:r w:rsidR="00E7144C">
        <w:rPr>
          <w:rFonts w:cstheme="minorHAnsi"/>
        </w:rPr>
        <w:t xml:space="preserve"> pre-2019 assets (</w:t>
      </w:r>
      <w:r w:rsidR="00D2685B">
        <w:rPr>
          <w:rFonts w:cstheme="minorHAnsi"/>
        </w:rPr>
        <w:t xml:space="preserve">that is, </w:t>
      </w:r>
      <w:r w:rsidR="00E7144C">
        <w:rPr>
          <w:rFonts w:cstheme="minorHAnsi"/>
        </w:rPr>
        <w:t>increase ii above)</w:t>
      </w:r>
    </w:p>
    <w:p w14:paraId="0EB90780" w14:textId="37F520C2" w:rsidR="00E7144C" w:rsidRDefault="00E7144C" w:rsidP="00481CE9">
      <w:pPr>
        <w:pStyle w:val="UnnumtextBodytext"/>
        <w:numPr>
          <w:ilvl w:val="1"/>
          <w:numId w:val="8"/>
        </w:numPr>
        <w:ind w:left="990"/>
        <w:rPr>
          <w:rFonts w:cstheme="minorHAnsi"/>
        </w:rPr>
      </w:pPr>
      <w:r>
        <w:rPr>
          <w:rFonts w:cstheme="minorHAnsi"/>
        </w:rPr>
        <w:t>customer specific opex charges</w:t>
      </w:r>
    </w:p>
    <w:p w14:paraId="51F67C6E" w14:textId="0D6BEA32" w:rsidR="00E7144C" w:rsidRDefault="00E7144C" w:rsidP="00481CE9">
      <w:pPr>
        <w:pStyle w:val="UnnumtextBodytext"/>
        <w:numPr>
          <w:ilvl w:val="1"/>
          <w:numId w:val="8"/>
        </w:numPr>
        <w:ind w:left="990"/>
        <w:rPr>
          <w:rFonts w:cstheme="minorHAnsi"/>
        </w:rPr>
      </w:pPr>
      <w:r>
        <w:rPr>
          <w:rFonts w:cstheme="minorHAnsi"/>
        </w:rPr>
        <w:t xml:space="preserve">a </w:t>
      </w:r>
      <w:proofErr w:type="spellStart"/>
      <w:r>
        <w:rPr>
          <w:rFonts w:cstheme="minorHAnsi"/>
        </w:rPr>
        <w:t>kvar</w:t>
      </w:r>
      <w:proofErr w:type="spellEnd"/>
      <w:r>
        <w:rPr>
          <w:rFonts w:cstheme="minorHAnsi"/>
        </w:rPr>
        <w:t xml:space="preserve"> charge</w:t>
      </w:r>
    </w:p>
    <w:p w14:paraId="5DC4F03D" w14:textId="49F9604B" w:rsidR="00E7144C" w:rsidRPr="003E7F38" w:rsidRDefault="00E7144C" w:rsidP="00E7144C">
      <w:pPr>
        <w:pStyle w:val="UnnumtextBodytext"/>
        <w:numPr>
          <w:ilvl w:val="1"/>
          <w:numId w:val="8"/>
        </w:numPr>
        <w:ind w:left="990"/>
        <w:rPr>
          <w:rFonts w:cstheme="minorHAnsi"/>
        </w:rPr>
      </w:pPr>
      <w:r>
        <w:rPr>
          <w:rFonts w:cstheme="minorHAnsi"/>
        </w:rPr>
        <w:t xml:space="preserve">a cap on the % annual change to </w:t>
      </w:r>
      <w:r w:rsidRPr="003E7F38">
        <w:rPr>
          <w:rFonts w:cstheme="minorHAnsi"/>
        </w:rPr>
        <w:t>TPM</w:t>
      </w:r>
      <w:r>
        <w:rPr>
          <w:rFonts w:cstheme="minorHAnsi"/>
        </w:rPr>
        <w:t>3</w:t>
      </w:r>
      <w:r w:rsidRPr="003E7F38">
        <w:rPr>
          <w:rFonts w:cstheme="minorHAnsi"/>
        </w:rPr>
        <w:t xml:space="preserve"> charges </w:t>
      </w:r>
      <w:r w:rsidR="00D2685B">
        <w:rPr>
          <w:rFonts w:cstheme="minorHAnsi"/>
        </w:rPr>
        <w:t>on</w:t>
      </w:r>
      <w:r w:rsidRPr="003E7F38">
        <w:rPr>
          <w:rFonts w:cstheme="minorHAnsi"/>
        </w:rPr>
        <w:t xml:space="preserve"> EDB’s and direct-connected </w:t>
      </w:r>
      <w:r w:rsidR="00B307EE">
        <w:rPr>
          <w:rFonts w:cstheme="minorHAnsi"/>
        </w:rPr>
        <w:t>customer bills</w:t>
      </w:r>
    </w:p>
    <w:p w14:paraId="123CF42B" w14:textId="77777777" w:rsidR="00B329D4" w:rsidRDefault="00CF7787" w:rsidP="0030490C">
      <w:pPr>
        <w:pStyle w:val="UnnumtextBodytext"/>
        <w:numPr>
          <w:ilvl w:val="0"/>
          <w:numId w:val="8"/>
        </w:numPr>
        <w:ind w:left="450" w:hanging="450"/>
        <w:rPr>
          <w:rFonts w:cstheme="minorHAnsi"/>
        </w:rPr>
      </w:pPr>
      <w:r>
        <w:rPr>
          <w:rFonts w:cstheme="minorHAnsi"/>
        </w:rPr>
        <w:t xml:space="preserve">The </w:t>
      </w:r>
      <w:r w:rsidR="00390B0D">
        <w:rPr>
          <w:rFonts w:cstheme="minorHAnsi"/>
        </w:rPr>
        <w:t>ENA support</w:t>
      </w:r>
      <w:r>
        <w:rPr>
          <w:rFonts w:cstheme="minorHAnsi"/>
        </w:rPr>
        <w:t>s</w:t>
      </w:r>
      <w:r w:rsidR="00390B0D">
        <w:rPr>
          <w:rFonts w:cstheme="minorHAnsi"/>
        </w:rPr>
        <w:t xml:space="preserve"> the need for change </w:t>
      </w:r>
      <w:r w:rsidR="00B307EE">
        <w:rPr>
          <w:rFonts w:cstheme="minorHAnsi"/>
        </w:rPr>
        <w:t xml:space="preserve">to correct </w:t>
      </w:r>
      <w:r w:rsidR="003150A3">
        <w:rPr>
          <w:rFonts w:cstheme="minorHAnsi"/>
        </w:rPr>
        <w:t xml:space="preserve">the </w:t>
      </w:r>
      <w:r w:rsidR="00B307EE">
        <w:rPr>
          <w:rFonts w:cstheme="minorHAnsi"/>
        </w:rPr>
        <w:t>small number of issues with</w:t>
      </w:r>
      <w:r w:rsidR="00390B0D">
        <w:rPr>
          <w:rFonts w:cstheme="minorHAnsi"/>
        </w:rPr>
        <w:t xml:space="preserve"> the current TPM </w:t>
      </w:r>
      <w:r w:rsidR="00B307EE">
        <w:rPr>
          <w:rFonts w:cstheme="minorHAnsi"/>
        </w:rPr>
        <w:t>which has</w:t>
      </w:r>
      <w:r w:rsidR="003150A3">
        <w:rPr>
          <w:rFonts w:cstheme="minorHAnsi"/>
        </w:rPr>
        <w:t xml:space="preserve"> clearly</w:t>
      </w:r>
      <w:r w:rsidR="00390B0D">
        <w:rPr>
          <w:rFonts w:cstheme="minorHAnsi"/>
        </w:rPr>
        <w:t xml:space="preserve"> not kept pace with the</w:t>
      </w:r>
      <w:r w:rsidR="00B307EE">
        <w:rPr>
          <w:rFonts w:cstheme="minorHAnsi"/>
        </w:rPr>
        <w:t xml:space="preserve"> broader</w:t>
      </w:r>
      <w:r w:rsidR="00390B0D">
        <w:rPr>
          <w:rFonts w:cstheme="minorHAnsi"/>
        </w:rPr>
        <w:t xml:space="preserve"> environment within which the allocation of transmission costs takes place. </w:t>
      </w:r>
      <w:r>
        <w:rPr>
          <w:rFonts w:cstheme="minorHAnsi"/>
        </w:rPr>
        <w:t xml:space="preserve">We </w:t>
      </w:r>
      <w:r w:rsidR="00390B0D">
        <w:rPr>
          <w:rFonts w:cstheme="minorHAnsi"/>
        </w:rPr>
        <w:t xml:space="preserve">are however mindful </w:t>
      </w:r>
      <w:r w:rsidR="00A10BC7">
        <w:rPr>
          <w:rFonts w:cstheme="minorHAnsi"/>
        </w:rPr>
        <w:t>of</w:t>
      </w:r>
      <w:r w:rsidR="00390B0D">
        <w:rPr>
          <w:rFonts w:cstheme="minorHAnsi"/>
        </w:rPr>
        <w:t xml:space="preserve"> the need to manage any change in a low risk manner </w:t>
      </w:r>
      <w:r w:rsidR="00B307EE">
        <w:rPr>
          <w:rFonts w:cstheme="minorHAnsi"/>
        </w:rPr>
        <w:t>and</w:t>
      </w:r>
      <w:r w:rsidR="00390B0D">
        <w:rPr>
          <w:rFonts w:cstheme="minorHAnsi"/>
        </w:rPr>
        <w:t xml:space="preserve"> avoid extending the period of aggravation that has been part of the TPM review over recent years. </w:t>
      </w:r>
      <w:r>
        <w:rPr>
          <w:rFonts w:cstheme="minorHAnsi"/>
        </w:rPr>
        <w:t xml:space="preserve">We </w:t>
      </w:r>
      <w:r w:rsidR="00390B0D">
        <w:rPr>
          <w:rFonts w:cstheme="minorHAnsi"/>
        </w:rPr>
        <w:t>feel that now is the time for the industry to agree a way forward so that Transpower can get on and develop the TPM3 details and the implementation arrangements</w:t>
      </w:r>
      <w:r w:rsidR="00B307EE">
        <w:rPr>
          <w:rFonts w:cstheme="minorHAnsi"/>
        </w:rPr>
        <w:t xml:space="preserve"> in a low risk and enduring manner.</w:t>
      </w:r>
      <w:r w:rsidR="00A10BC7">
        <w:rPr>
          <w:rFonts w:cstheme="minorHAnsi"/>
        </w:rPr>
        <w:t xml:space="preserve"> </w:t>
      </w:r>
    </w:p>
    <w:p w14:paraId="177009F4" w14:textId="0BC609C1" w:rsidR="00390B0D" w:rsidRDefault="00A10BC7" w:rsidP="0030490C">
      <w:pPr>
        <w:pStyle w:val="UnnumtextBodytext"/>
        <w:numPr>
          <w:ilvl w:val="0"/>
          <w:numId w:val="8"/>
        </w:numPr>
        <w:ind w:left="450" w:hanging="450"/>
        <w:rPr>
          <w:rFonts w:cstheme="minorHAnsi"/>
        </w:rPr>
      </w:pPr>
      <w:r>
        <w:rPr>
          <w:rFonts w:cstheme="minorHAnsi"/>
        </w:rPr>
        <w:lastRenderedPageBreak/>
        <w:t xml:space="preserve">We are facing a period of change through the next </w:t>
      </w:r>
      <w:r w:rsidR="0093450E">
        <w:rPr>
          <w:rFonts w:cstheme="minorHAnsi"/>
        </w:rPr>
        <w:t>decades</w:t>
      </w:r>
      <w:r>
        <w:rPr>
          <w:rFonts w:cstheme="minorHAnsi"/>
        </w:rPr>
        <w:t xml:space="preserve"> that is best </w:t>
      </w:r>
      <w:r w:rsidR="00CF7787">
        <w:rPr>
          <w:rFonts w:cstheme="minorHAnsi"/>
        </w:rPr>
        <w:t xml:space="preserve">contemplated </w:t>
      </w:r>
      <w:r>
        <w:rPr>
          <w:rFonts w:cstheme="minorHAnsi"/>
        </w:rPr>
        <w:t>with the re-allocation of Transpower’s costs settled</w:t>
      </w:r>
      <w:r w:rsidR="005D02CB">
        <w:rPr>
          <w:rFonts w:cstheme="minorHAnsi"/>
        </w:rPr>
        <w:t xml:space="preserve"> in a manner that is sympathetic of </w:t>
      </w:r>
      <w:r>
        <w:rPr>
          <w:rFonts w:cstheme="minorHAnsi"/>
        </w:rPr>
        <w:t>the uncertainty that this</w:t>
      </w:r>
      <w:r w:rsidR="0093450E">
        <w:rPr>
          <w:rFonts w:cstheme="minorHAnsi"/>
        </w:rPr>
        <w:t xml:space="preserve"> period of</w:t>
      </w:r>
      <w:r>
        <w:rPr>
          <w:rFonts w:cstheme="minorHAnsi"/>
        </w:rPr>
        <w:t xml:space="preserve"> change brings. TPM3 therefore needs to </w:t>
      </w:r>
      <w:r w:rsidR="005D02CB">
        <w:rPr>
          <w:rFonts w:cstheme="minorHAnsi"/>
        </w:rPr>
        <w:t xml:space="preserve">be </w:t>
      </w:r>
      <w:r>
        <w:rPr>
          <w:rFonts w:cstheme="minorHAnsi"/>
        </w:rPr>
        <w:t>adapt</w:t>
      </w:r>
      <w:r w:rsidR="005D02CB">
        <w:rPr>
          <w:rFonts w:cstheme="minorHAnsi"/>
        </w:rPr>
        <w:t>able</w:t>
      </w:r>
      <w:r>
        <w:rPr>
          <w:rFonts w:cstheme="minorHAnsi"/>
        </w:rPr>
        <w:t xml:space="preserve"> as the future unfolds. Setting it in concrete in an unchanging manner</w:t>
      </w:r>
      <w:r w:rsidR="00326AB7">
        <w:rPr>
          <w:rFonts w:cstheme="minorHAnsi"/>
        </w:rPr>
        <w:t xml:space="preserve"> as is proposed</w:t>
      </w:r>
      <w:r w:rsidR="005D02CB">
        <w:rPr>
          <w:rFonts w:cstheme="minorHAnsi"/>
        </w:rPr>
        <w:t xml:space="preserve"> in the TPM3 consultation</w:t>
      </w:r>
      <w:r w:rsidR="00B329D4">
        <w:rPr>
          <w:rFonts w:cstheme="minorHAnsi"/>
        </w:rPr>
        <w:t>,</w:t>
      </w:r>
      <w:r>
        <w:rPr>
          <w:rFonts w:cstheme="minorHAnsi"/>
        </w:rPr>
        <w:t xml:space="preserve"> is unlikely to resolve the controversies that ha</w:t>
      </w:r>
      <w:r w:rsidR="00326AB7">
        <w:rPr>
          <w:rFonts w:cstheme="minorHAnsi"/>
        </w:rPr>
        <w:t>ve</w:t>
      </w:r>
      <w:r>
        <w:rPr>
          <w:rFonts w:cstheme="minorHAnsi"/>
        </w:rPr>
        <w:t xml:space="preserve"> dogged transmission pricing </w:t>
      </w:r>
      <w:r w:rsidR="0093450E">
        <w:rPr>
          <w:rFonts w:cstheme="minorHAnsi"/>
        </w:rPr>
        <w:t>in the past</w:t>
      </w:r>
      <w:r w:rsidR="00A853E7">
        <w:rPr>
          <w:rFonts w:cstheme="minorHAnsi"/>
        </w:rPr>
        <w:t xml:space="preserve"> and will leave the TPM3 as increasingly unfit-for-purpose over time</w:t>
      </w:r>
      <w:r>
        <w:rPr>
          <w:rFonts w:cstheme="minorHAnsi"/>
        </w:rPr>
        <w:t xml:space="preserve">. </w:t>
      </w:r>
    </w:p>
    <w:p w14:paraId="419E3EF1" w14:textId="2BF28B6B" w:rsidR="00B329D4" w:rsidRDefault="00B329D4" w:rsidP="0030490C">
      <w:pPr>
        <w:pStyle w:val="UnnumtextBodytext"/>
        <w:numPr>
          <w:ilvl w:val="0"/>
          <w:numId w:val="8"/>
        </w:numPr>
        <w:ind w:left="450" w:hanging="450"/>
        <w:rPr>
          <w:rFonts w:cstheme="minorHAnsi"/>
        </w:rPr>
      </w:pPr>
      <w:r>
        <w:rPr>
          <w:rFonts w:cstheme="minorHAnsi"/>
        </w:rPr>
        <w:t>Our approach to this submission is to consider the</w:t>
      </w:r>
      <w:r w:rsidR="005D02CB">
        <w:rPr>
          <w:rFonts w:cstheme="minorHAnsi"/>
        </w:rPr>
        <w:t xml:space="preserve"> merits of the</w:t>
      </w:r>
      <w:r>
        <w:rPr>
          <w:rFonts w:cstheme="minorHAnsi"/>
        </w:rPr>
        <w:t xml:space="preserve"> proposal</w:t>
      </w:r>
      <w:r w:rsidR="005D02CB">
        <w:rPr>
          <w:rFonts w:cstheme="minorHAnsi"/>
        </w:rPr>
        <w:t xml:space="preserve"> compared to</w:t>
      </w:r>
      <w:r>
        <w:rPr>
          <w:rFonts w:cstheme="minorHAnsi"/>
        </w:rPr>
        <w:t xml:space="preserve"> the current TPM, to consider the impacts on ENA members, and, as best we can, to review where the costs and benefits fall – that is, will TPM3 provide improved economic outcomes as the Authority suggests.</w:t>
      </w:r>
    </w:p>
    <w:p w14:paraId="579EE77C" w14:textId="6A35B886" w:rsidR="00390B0D" w:rsidRDefault="00B307EE" w:rsidP="0030490C">
      <w:pPr>
        <w:pStyle w:val="UnnumtextBodytext"/>
        <w:numPr>
          <w:ilvl w:val="0"/>
          <w:numId w:val="8"/>
        </w:numPr>
        <w:ind w:left="450" w:hanging="450"/>
        <w:rPr>
          <w:rFonts w:cstheme="minorHAnsi"/>
        </w:rPr>
      </w:pPr>
      <w:r>
        <w:rPr>
          <w:rFonts w:cstheme="minorHAnsi"/>
        </w:rPr>
        <w:t>T</w:t>
      </w:r>
      <w:r w:rsidR="00B329D4">
        <w:rPr>
          <w:rFonts w:cstheme="minorHAnsi"/>
        </w:rPr>
        <w:t>his</w:t>
      </w:r>
      <w:r w:rsidR="00D55606">
        <w:rPr>
          <w:rFonts w:cstheme="minorHAnsi"/>
        </w:rPr>
        <w:t xml:space="preserve"> ENA submission is informed by the following</w:t>
      </w:r>
      <w:r w:rsidR="00390B0D">
        <w:rPr>
          <w:rFonts w:cstheme="minorHAnsi"/>
        </w:rPr>
        <w:t xml:space="preserve"> </w:t>
      </w:r>
      <w:r w:rsidR="00781BF6">
        <w:rPr>
          <w:rFonts w:cstheme="minorHAnsi"/>
        </w:rPr>
        <w:t>guidelines</w:t>
      </w:r>
      <w:r w:rsidR="00D55606">
        <w:rPr>
          <w:rFonts w:cstheme="minorHAnsi"/>
        </w:rPr>
        <w:t xml:space="preserve"> </w:t>
      </w:r>
      <w:r w:rsidR="00D76A91">
        <w:rPr>
          <w:rFonts w:cstheme="minorHAnsi"/>
        </w:rPr>
        <w:t>that we consider</w:t>
      </w:r>
      <w:r w:rsidR="00D55606">
        <w:rPr>
          <w:rFonts w:cstheme="minorHAnsi"/>
        </w:rPr>
        <w:t xml:space="preserve"> could </w:t>
      </w:r>
      <w:r w:rsidR="003150A3">
        <w:rPr>
          <w:rFonts w:cstheme="minorHAnsi"/>
        </w:rPr>
        <w:t>be used to</w:t>
      </w:r>
      <w:r w:rsidR="00C842E7">
        <w:rPr>
          <w:rFonts w:cstheme="minorHAnsi"/>
        </w:rPr>
        <w:t xml:space="preserve"> </w:t>
      </w:r>
      <w:r w:rsidR="00EF6975">
        <w:rPr>
          <w:rFonts w:cstheme="minorHAnsi"/>
        </w:rPr>
        <w:t>steer</w:t>
      </w:r>
      <w:r w:rsidR="00C842E7">
        <w:rPr>
          <w:rFonts w:cstheme="minorHAnsi"/>
        </w:rPr>
        <w:t xml:space="preserve"> the </w:t>
      </w:r>
      <w:r w:rsidR="00D76A91">
        <w:rPr>
          <w:rFonts w:cstheme="minorHAnsi"/>
        </w:rPr>
        <w:t xml:space="preserve">TPM </w:t>
      </w:r>
      <w:r w:rsidR="00C842E7">
        <w:rPr>
          <w:rFonts w:cstheme="minorHAnsi"/>
        </w:rPr>
        <w:t xml:space="preserve">reforms that Transpower will develop. </w:t>
      </w:r>
      <w:r w:rsidR="005D02CB">
        <w:rPr>
          <w:rFonts w:cstheme="minorHAnsi"/>
        </w:rPr>
        <w:t>Our</w:t>
      </w:r>
      <w:r w:rsidR="00EE736F">
        <w:rPr>
          <w:rFonts w:cstheme="minorHAnsi"/>
        </w:rPr>
        <w:t xml:space="preserve"> </w:t>
      </w:r>
      <w:r w:rsidR="00E97422">
        <w:rPr>
          <w:rFonts w:cstheme="minorHAnsi"/>
        </w:rPr>
        <w:t xml:space="preserve">suggestions for </w:t>
      </w:r>
      <w:r w:rsidR="00781BF6">
        <w:rPr>
          <w:rFonts w:cstheme="minorHAnsi"/>
        </w:rPr>
        <w:t>guidelines</w:t>
      </w:r>
      <w:r w:rsidR="005D02CB">
        <w:rPr>
          <w:rFonts w:cstheme="minorHAnsi"/>
        </w:rPr>
        <w:t xml:space="preserve"> </w:t>
      </w:r>
      <w:r w:rsidR="00C842E7">
        <w:rPr>
          <w:rFonts w:cstheme="minorHAnsi"/>
        </w:rPr>
        <w:t>are quite specific to transmission pricing rather than being generic</w:t>
      </w:r>
      <w:r>
        <w:rPr>
          <w:rFonts w:cstheme="minorHAnsi"/>
        </w:rPr>
        <w:t xml:space="preserve"> to broader network pricing</w:t>
      </w:r>
      <w:r w:rsidR="00C842E7">
        <w:rPr>
          <w:rFonts w:cstheme="minorHAnsi"/>
        </w:rPr>
        <w:t xml:space="preserve"> (efficient and cost reflective for instance), as follows:</w:t>
      </w:r>
    </w:p>
    <w:p w14:paraId="107A48BA" w14:textId="158B2B14" w:rsidR="00C842E7" w:rsidRPr="00C842E7" w:rsidRDefault="007E17D6" w:rsidP="007E17D6">
      <w:pPr>
        <w:pStyle w:val="UnnumtextBodytext"/>
        <w:ind w:left="990" w:hanging="540"/>
        <w:rPr>
          <w:rFonts w:cstheme="minorHAnsi"/>
        </w:rPr>
      </w:pPr>
      <w:r>
        <w:rPr>
          <w:rFonts w:cstheme="minorHAnsi"/>
        </w:rPr>
        <w:t xml:space="preserve">#1 </w:t>
      </w:r>
      <w:r>
        <w:rPr>
          <w:rFonts w:cstheme="minorHAnsi"/>
        </w:rPr>
        <w:tab/>
      </w:r>
      <w:r w:rsidR="00EF6975">
        <w:rPr>
          <w:rFonts w:cstheme="minorHAnsi"/>
        </w:rPr>
        <w:t>Shedding load to a</w:t>
      </w:r>
      <w:r w:rsidR="00C842E7" w:rsidRPr="00C842E7">
        <w:rPr>
          <w:rFonts w:cstheme="minorHAnsi"/>
        </w:rPr>
        <w:t>void</w:t>
      </w:r>
      <w:r w:rsidR="00D76A91">
        <w:rPr>
          <w:rFonts w:cstheme="minorHAnsi"/>
        </w:rPr>
        <w:t xml:space="preserve"> peak-period </w:t>
      </w:r>
      <w:r w:rsidR="00C842E7" w:rsidRPr="00C842E7">
        <w:rPr>
          <w:rFonts w:cstheme="minorHAnsi"/>
        </w:rPr>
        <w:t>transmission charge</w:t>
      </w:r>
      <w:r w:rsidR="003150A3">
        <w:rPr>
          <w:rFonts w:cstheme="minorHAnsi"/>
        </w:rPr>
        <w:t>s</w:t>
      </w:r>
      <w:r w:rsidR="00D76A91">
        <w:rPr>
          <w:rFonts w:cstheme="minorHAnsi"/>
        </w:rPr>
        <w:t xml:space="preserve"> may be a rational economic response by </w:t>
      </w:r>
      <w:r w:rsidR="00150C5D">
        <w:rPr>
          <w:rFonts w:cstheme="minorHAnsi"/>
        </w:rPr>
        <w:t>grid users</w:t>
      </w:r>
      <w:r w:rsidR="00D76A91">
        <w:rPr>
          <w:rFonts w:cstheme="minorHAnsi"/>
        </w:rPr>
        <w:t xml:space="preserve"> </w:t>
      </w:r>
      <w:r w:rsidR="00EF6975">
        <w:rPr>
          <w:rFonts w:cstheme="minorHAnsi"/>
        </w:rPr>
        <w:t>and it could</w:t>
      </w:r>
      <w:r w:rsidR="00D76A91">
        <w:rPr>
          <w:rFonts w:cstheme="minorHAnsi"/>
        </w:rPr>
        <w:t xml:space="preserve"> </w:t>
      </w:r>
      <w:r w:rsidR="00EF6975">
        <w:rPr>
          <w:rFonts w:cstheme="minorHAnsi"/>
        </w:rPr>
        <w:t>deliver</w:t>
      </w:r>
      <w:r w:rsidR="00D76A91">
        <w:rPr>
          <w:rFonts w:cstheme="minorHAnsi"/>
        </w:rPr>
        <w:t xml:space="preserve"> benefits to the grid – it should</w:t>
      </w:r>
      <w:r w:rsidR="00C842E7" w:rsidRPr="00C842E7">
        <w:rPr>
          <w:rFonts w:cstheme="minorHAnsi"/>
        </w:rPr>
        <w:t xml:space="preserve"> only </w:t>
      </w:r>
      <w:r w:rsidR="00D76A91">
        <w:rPr>
          <w:rFonts w:cstheme="minorHAnsi"/>
        </w:rPr>
        <w:t xml:space="preserve">be of concern </w:t>
      </w:r>
      <w:r w:rsidR="00C842E7" w:rsidRPr="00C842E7">
        <w:rPr>
          <w:rFonts w:cstheme="minorHAnsi"/>
        </w:rPr>
        <w:t>when it results in material</w:t>
      </w:r>
      <w:r w:rsidR="00D76A91">
        <w:rPr>
          <w:rFonts w:cstheme="minorHAnsi"/>
        </w:rPr>
        <w:t xml:space="preserve"> </w:t>
      </w:r>
      <w:r w:rsidR="00C842E7" w:rsidRPr="00C842E7">
        <w:rPr>
          <w:rFonts w:cstheme="minorHAnsi"/>
        </w:rPr>
        <w:t xml:space="preserve">cost shifting amongst </w:t>
      </w:r>
      <w:r w:rsidR="00D76A91">
        <w:rPr>
          <w:rFonts w:cstheme="minorHAnsi"/>
        </w:rPr>
        <w:t>consumers</w:t>
      </w:r>
      <w:r w:rsidR="00C842E7" w:rsidRPr="00C842E7">
        <w:rPr>
          <w:rFonts w:cstheme="minorHAnsi"/>
        </w:rPr>
        <w:t>.</w:t>
      </w:r>
    </w:p>
    <w:p w14:paraId="49EF49FA" w14:textId="22764510" w:rsidR="00C842E7" w:rsidRPr="00C842E7" w:rsidRDefault="007E17D6" w:rsidP="002F4BE2">
      <w:pPr>
        <w:pStyle w:val="UnnumtextBodytext"/>
        <w:ind w:left="990" w:hanging="540"/>
        <w:rPr>
          <w:rFonts w:cstheme="minorHAnsi"/>
        </w:rPr>
      </w:pPr>
      <w:r>
        <w:rPr>
          <w:rFonts w:cstheme="minorHAnsi"/>
        </w:rPr>
        <w:t>#2</w:t>
      </w:r>
      <w:r>
        <w:rPr>
          <w:rFonts w:cstheme="minorHAnsi"/>
        </w:rPr>
        <w:tab/>
      </w:r>
      <w:r w:rsidR="00D76A91">
        <w:rPr>
          <w:rFonts w:cstheme="minorHAnsi"/>
        </w:rPr>
        <w:t>The</w:t>
      </w:r>
      <w:r w:rsidR="009A7D4D">
        <w:rPr>
          <w:rFonts w:cstheme="minorHAnsi"/>
        </w:rPr>
        <w:t xml:space="preserve"> TPM should retain </w:t>
      </w:r>
      <w:r w:rsidR="00D76A91">
        <w:rPr>
          <w:rFonts w:cstheme="minorHAnsi"/>
        </w:rPr>
        <w:t>a</w:t>
      </w:r>
      <w:r w:rsidR="00C842E7" w:rsidRPr="00C842E7">
        <w:rPr>
          <w:rFonts w:cstheme="minorHAnsi"/>
        </w:rPr>
        <w:t xml:space="preserve"> peak-period transmission charge because it conveys valuable information about </w:t>
      </w:r>
      <w:r w:rsidR="00781BF6">
        <w:rPr>
          <w:rFonts w:cstheme="minorHAnsi"/>
        </w:rPr>
        <w:t>the costs of grid use</w:t>
      </w:r>
      <w:r w:rsidR="009A7D4D">
        <w:rPr>
          <w:rFonts w:cstheme="minorHAnsi"/>
        </w:rPr>
        <w:t>,</w:t>
      </w:r>
      <w:r w:rsidR="00781BF6">
        <w:rPr>
          <w:rFonts w:cstheme="minorHAnsi"/>
        </w:rPr>
        <w:t xml:space="preserve"> </w:t>
      </w:r>
      <w:r w:rsidR="005D02CB">
        <w:rPr>
          <w:rFonts w:cstheme="minorHAnsi"/>
        </w:rPr>
        <w:t>that</w:t>
      </w:r>
      <w:r w:rsidR="00781BF6">
        <w:rPr>
          <w:rFonts w:cstheme="minorHAnsi"/>
        </w:rPr>
        <w:t xml:space="preserve"> other pricing mechanisms cannot</w:t>
      </w:r>
      <w:r w:rsidR="009A7D4D">
        <w:rPr>
          <w:rFonts w:cstheme="minorHAnsi"/>
        </w:rPr>
        <w:t xml:space="preserve"> do</w:t>
      </w:r>
      <w:r w:rsidR="00781BF6">
        <w:rPr>
          <w:rFonts w:cstheme="minorHAnsi"/>
        </w:rPr>
        <w:t>.</w:t>
      </w:r>
    </w:p>
    <w:p w14:paraId="24542090" w14:textId="43901001" w:rsidR="00C842E7" w:rsidRPr="00C842E7" w:rsidRDefault="007E17D6" w:rsidP="002F4BE2">
      <w:pPr>
        <w:pStyle w:val="UnnumtextBodytext"/>
        <w:ind w:left="990" w:hanging="540"/>
        <w:rPr>
          <w:rFonts w:cstheme="minorHAnsi"/>
        </w:rPr>
      </w:pPr>
      <w:r>
        <w:rPr>
          <w:rFonts w:cstheme="minorHAnsi"/>
        </w:rPr>
        <w:t>#</w:t>
      </w:r>
      <w:r w:rsidR="00D55606">
        <w:rPr>
          <w:rFonts w:cstheme="minorHAnsi"/>
        </w:rPr>
        <w:t>3</w:t>
      </w:r>
      <w:r>
        <w:rPr>
          <w:rFonts w:cstheme="minorHAnsi"/>
        </w:rPr>
        <w:tab/>
      </w:r>
      <w:r w:rsidR="00781BF6">
        <w:rPr>
          <w:rFonts w:cstheme="minorHAnsi"/>
        </w:rPr>
        <w:t xml:space="preserve">In the presence of a peak-period charge, </w:t>
      </w:r>
      <w:r w:rsidR="00981E98">
        <w:rPr>
          <w:rFonts w:cstheme="minorHAnsi"/>
        </w:rPr>
        <w:t xml:space="preserve">there is less of </w:t>
      </w:r>
      <w:r w:rsidR="00781BF6">
        <w:rPr>
          <w:rFonts w:cstheme="minorHAnsi"/>
        </w:rPr>
        <w:t>a</w:t>
      </w:r>
      <w:r w:rsidR="00981E98">
        <w:rPr>
          <w:rFonts w:cstheme="minorHAnsi"/>
        </w:rPr>
        <w:t xml:space="preserve"> need for a</w:t>
      </w:r>
      <w:r w:rsidR="00C842E7" w:rsidRPr="00C842E7">
        <w:rPr>
          <w:rFonts w:cstheme="minorHAnsi"/>
        </w:rPr>
        <w:t xml:space="preserve"> benefits-based transmission cost </w:t>
      </w:r>
      <w:r w:rsidR="009A7D4D">
        <w:rPr>
          <w:rFonts w:cstheme="minorHAnsi"/>
        </w:rPr>
        <w:t>allocation approach</w:t>
      </w:r>
      <w:r w:rsidR="002D3F08">
        <w:rPr>
          <w:rFonts w:cstheme="minorHAnsi"/>
        </w:rPr>
        <w:t xml:space="preserve"> </w:t>
      </w:r>
      <w:r w:rsidR="00781BF6">
        <w:rPr>
          <w:rFonts w:cstheme="minorHAnsi"/>
        </w:rPr>
        <w:t>– it will</w:t>
      </w:r>
      <w:r w:rsidR="00C842E7" w:rsidRPr="00C842E7">
        <w:rPr>
          <w:rFonts w:cstheme="minorHAnsi"/>
        </w:rPr>
        <w:t xml:space="preserve"> increase dispute costs in almost all cases where benefits are already clearly broadly based. </w:t>
      </w:r>
    </w:p>
    <w:p w14:paraId="4A7207DB" w14:textId="1BC77411" w:rsidR="00C842E7" w:rsidRPr="00C842E7" w:rsidRDefault="007E17D6" w:rsidP="007E17D6">
      <w:pPr>
        <w:pStyle w:val="UnnumtextBodytext"/>
        <w:ind w:left="990" w:hanging="540"/>
        <w:rPr>
          <w:rFonts w:cstheme="minorHAnsi"/>
        </w:rPr>
      </w:pPr>
      <w:r>
        <w:rPr>
          <w:rFonts w:cstheme="minorHAnsi"/>
        </w:rPr>
        <w:t>#</w:t>
      </w:r>
      <w:r w:rsidR="00D55606">
        <w:rPr>
          <w:rFonts w:cstheme="minorHAnsi"/>
        </w:rPr>
        <w:t>4</w:t>
      </w:r>
      <w:r>
        <w:rPr>
          <w:rFonts w:cstheme="minorHAnsi"/>
        </w:rPr>
        <w:tab/>
      </w:r>
      <w:r w:rsidR="009A7D4D">
        <w:rPr>
          <w:rFonts w:cstheme="minorHAnsi"/>
        </w:rPr>
        <w:t>Therefore,</w:t>
      </w:r>
      <w:r w:rsidR="00C842E7" w:rsidRPr="00C842E7">
        <w:rPr>
          <w:rFonts w:cstheme="minorHAnsi"/>
        </w:rPr>
        <w:t xml:space="preserve"> the </w:t>
      </w:r>
      <w:r w:rsidR="000269E4">
        <w:rPr>
          <w:rFonts w:cstheme="minorHAnsi"/>
        </w:rPr>
        <w:t xml:space="preserve">Authority’s </w:t>
      </w:r>
      <w:r w:rsidR="009A7D4D">
        <w:rPr>
          <w:rFonts w:cstheme="minorHAnsi"/>
        </w:rPr>
        <w:t xml:space="preserve">TPM </w:t>
      </w:r>
      <w:r w:rsidR="000269E4">
        <w:rPr>
          <w:rFonts w:cstheme="minorHAnsi"/>
        </w:rPr>
        <w:t>g</w:t>
      </w:r>
      <w:r w:rsidR="00C842E7" w:rsidRPr="00C842E7">
        <w:rPr>
          <w:rFonts w:cstheme="minorHAnsi"/>
        </w:rPr>
        <w:t>uidelines should not be overly prescriptive and should provide Transpower with flexibility to develop the detailed design features for a revised TPM along with appropriate implementation</w:t>
      </w:r>
      <w:r w:rsidR="00B82594">
        <w:rPr>
          <w:rFonts w:cstheme="minorHAnsi"/>
        </w:rPr>
        <w:t xml:space="preserve"> and </w:t>
      </w:r>
      <w:r w:rsidR="00C842E7" w:rsidRPr="00C842E7">
        <w:rPr>
          <w:rFonts w:cstheme="minorHAnsi"/>
        </w:rPr>
        <w:t>transition arrangements.</w:t>
      </w:r>
    </w:p>
    <w:p w14:paraId="20D2B5AE" w14:textId="6133C32A" w:rsidR="00C842E7" w:rsidRPr="007E17D6" w:rsidRDefault="007E17D6" w:rsidP="005D02CB">
      <w:pPr>
        <w:pStyle w:val="UnnumtextBodytext"/>
        <w:ind w:left="990" w:hanging="540"/>
        <w:rPr>
          <w:rFonts w:cstheme="minorHAnsi"/>
        </w:rPr>
      </w:pPr>
      <w:r>
        <w:rPr>
          <w:rFonts w:cstheme="minorHAnsi"/>
        </w:rPr>
        <w:t>#</w:t>
      </w:r>
      <w:r w:rsidR="00D55606">
        <w:rPr>
          <w:rFonts w:cstheme="minorHAnsi"/>
        </w:rPr>
        <w:t>5</w:t>
      </w:r>
      <w:r>
        <w:rPr>
          <w:rFonts w:cstheme="minorHAnsi"/>
        </w:rPr>
        <w:tab/>
      </w:r>
      <w:r w:rsidR="00781BF6">
        <w:rPr>
          <w:rFonts w:cstheme="minorHAnsi"/>
        </w:rPr>
        <w:t xml:space="preserve">Transpower should be given </w:t>
      </w:r>
      <w:r w:rsidR="00150C5D">
        <w:rPr>
          <w:rFonts w:cstheme="minorHAnsi"/>
        </w:rPr>
        <w:t>adequate time</w:t>
      </w:r>
      <w:r w:rsidR="00781BF6">
        <w:rPr>
          <w:rFonts w:cstheme="minorHAnsi"/>
        </w:rPr>
        <w:t xml:space="preserve"> to</w:t>
      </w:r>
      <w:r w:rsidR="00C842E7" w:rsidRPr="00C842E7">
        <w:rPr>
          <w:rFonts w:cstheme="minorHAnsi"/>
        </w:rPr>
        <w:t xml:space="preserve"> incrementally introduced</w:t>
      </w:r>
      <w:r w:rsidR="00781BF6">
        <w:rPr>
          <w:rFonts w:cstheme="minorHAnsi"/>
        </w:rPr>
        <w:t xml:space="preserve"> TPM changes</w:t>
      </w:r>
      <w:r w:rsidR="00C842E7" w:rsidRPr="00C842E7">
        <w:rPr>
          <w:rFonts w:cstheme="minorHAnsi"/>
        </w:rPr>
        <w:t xml:space="preserve"> to </w:t>
      </w:r>
      <w:r w:rsidR="00781BF6">
        <w:rPr>
          <w:rFonts w:cstheme="minorHAnsi"/>
        </w:rPr>
        <w:t xml:space="preserve">manage </w:t>
      </w:r>
      <w:r w:rsidR="00B82594">
        <w:rPr>
          <w:rFonts w:cstheme="minorHAnsi"/>
        </w:rPr>
        <w:t>bill</w:t>
      </w:r>
      <w:r w:rsidR="00C842E7" w:rsidRPr="00C842E7">
        <w:rPr>
          <w:rFonts w:cstheme="minorHAnsi"/>
        </w:rPr>
        <w:t xml:space="preserve"> shocks</w:t>
      </w:r>
      <w:r w:rsidR="00781BF6">
        <w:rPr>
          <w:rFonts w:cstheme="minorHAnsi"/>
        </w:rPr>
        <w:t xml:space="preserve"> (if needed)</w:t>
      </w:r>
      <w:r w:rsidR="00C842E7" w:rsidRPr="00C842E7">
        <w:rPr>
          <w:rFonts w:cstheme="minorHAnsi"/>
        </w:rPr>
        <w:t xml:space="preserve">, </w:t>
      </w:r>
      <w:r w:rsidR="00B82594">
        <w:rPr>
          <w:rFonts w:cstheme="minorHAnsi"/>
        </w:rPr>
        <w:t xml:space="preserve">to </w:t>
      </w:r>
      <w:r w:rsidR="00C842E7" w:rsidRPr="00C842E7">
        <w:rPr>
          <w:rFonts w:cstheme="minorHAnsi"/>
        </w:rPr>
        <w:t xml:space="preserve">maximise stakeholder understanding, and </w:t>
      </w:r>
      <w:r w:rsidR="00B82594">
        <w:rPr>
          <w:rFonts w:cstheme="minorHAnsi"/>
        </w:rPr>
        <w:t xml:space="preserve">to </w:t>
      </w:r>
      <w:r w:rsidR="00C842E7" w:rsidRPr="00C842E7">
        <w:rPr>
          <w:rFonts w:cstheme="minorHAnsi"/>
        </w:rPr>
        <w:t>avoid risks of unintended consequence</w:t>
      </w:r>
      <w:r w:rsidR="00C842E7" w:rsidRPr="007E17D6">
        <w:rPr>
          <w:rFonts w:cstheme="minorHAnsi"/>
        </w:rPr>
        <w:t xml:space="preserve">. </w:t>
      </w:r>
    </w:p>
    <w:p w14:paraId="163D0AD8" w14:textId="3877A3EE" w:rsidR="00B82594" w:rsidRDefault="00B82594" w:rsidP="0030490C">
      <w:pPr>
        <w:pStyle w:val="UnnumtextBodytext"/>
        <w:numPr>
          <w:ilvl w:val="0"/>
          <w:numId w:val="8"/>
        </w:numPr>
        <w:ind w:left="450" w:hanging="450"/>
        <w:rPr>
          <w:rFonts w:cstheme="minorHAnsi"/>
        </w:rPr>
      </w:pPr>
      <w:r>
        <w:rPr>
          <w:rFonts w:cstheme="minorHAnsi"/>
        </w:rPr>
        <w:t xml:space="preserve">From the Authority analysis, and our own, </w:t>
      </w:r>
      <w:r w:rsidR="000269E4">
        <w:rPr>
          <w:rFonts w:cstheme="minorHAnsi"/>
        </w:rPr>
        <w:t>the</w:t>
      </w:r>
      <w:r>
        <w:rPr>
          <w:rFonts w:cstheme="minorHAnsi"/>
        </w:rPr>
        <w:t xml:space="preserve"> impacts of TPM3 fall in a different way that those of TPM2 in 2017 –</w:t>
      </w:r>
      <w:r w:rsidR="00683A5B">
        <w:rPr>
          <w:rFonts w:cstheme="minorHAnsi"/>
        </w:rPr>
        <w:t xml:space="preserve"> </w:t>
      </w:r>
      <w:r w:rsidR="005D02CB">
        <w:rPr>
          <w:rFonts w:cstheme="minorHAnsi"/>
        </w:rPr>
        <w:t xml:space="preserve">that is, </w:t>
      </w:r>
      <w:r w:rsidR="00683A5B">
        <w:rPr>
          <w:rFonts w:cstheme="minorHAnsi"/>
        </w:rPr>
        <w:t xml:space="preserve">while the basic structure of TPM3 is the same as for TPM2, </w:t>
      </w:r>
      <w:r>
        <w:rPr>
          <w:rFonts w:cstheme="minorHAnsi"/>
        </w:rPr>
        <w:t xml:space="preserve">the re-allocation of Transpower’s costs </w:t>
      </w:r>
      <w:r w:rsidR="00683A5B">
        <w:rPr>
          <w:rFonts w:cstheme="minorHAnsi"/>
        </w:rPr>
        <w:t xml:space="preserve">across connected customers </w:t>
      </w:r>
      <w:r>
        <w:rPr>
          <w:rFonts w:cstheme="minorHAnsi"/>
        </w:rPr>
        <w:t xml:space="preserve">has changed. </w:t>
      </w:r>
      <w:r w:rsidR="00A853E7">
        <w:rPr>
          <w:rFonts w:cstheme="minorHAnsi"/>
        </w:rPr>
        <w:t xml:space="preserve">We note that consumers end up shouldering an even greater share of Transpower’s costs. </w:t>
      </w:r>
      <w:r>
        <w:rPr>
          <w:rFonts w:cstheme="minorHAnsi"/>
        </w:rPr>
        <w:t xml:space="preserve">ENA members will submit on their own behalf </w:t>
      </w:r>
      <w:r w:rsidR="00171DE3">
        <w:rPr>
          <w:rFonts w:cstheme="minorHAnsi"/>
        </w:rPr>
        <w:t>on these aspects of the Authority</w:t>
      </w:r>
      <w:r w:rsidR="00240F07">
        <w:rPr>
          <w:rFonts w:cstheme="minorHAnsi"/>
        </w:rPr>
        <w:t xml:space="preserve"> proposal and therefore </w:t>
      </w:r>
      <w:r>
        <w:rPr>
          <w:rFonts w:cstheme="minorHAnsi"/>
        </w:rPr>
        <w:t>this ENA submission does not comment on the</w:t>
      </w:r>
      <w:r w:rsidR="00683A5B">
        <w:rPr>
          <w:rFonts w:cstheme="minorHAnsi"/>
        </w:rPr>
        <w:t xml:space="preserve"> localised</w:t>
      </w:r>
      <w:r>
        <w:rPr>
          <w:rFonts w:cstheme="minorHAnsi"/>
        </w:rPr>
        <w:t xml:space="preserve"> impacts of the </w:t>
      </w:r>
      <w:r w:rsidR="00050799">
        <w:rPr>
          <w:rFonts w:cstheme="minorHAnsi"/>
        </w:rPr>
        <w:t>benefits-based</w:t>
      </w:r>
      <w:r>
        <w:rPr>
          <w:rFonts w:cstheme="minorHAnsi"/>
        </w:rPr>
        <w:t xml:space="preserve"> </w:t>
      </w:r>
      <w:r w:rsidR="00050799">
        <w:rPr>
          <w:rFonts w:cstheme="minorHAnsi"/>
        </w:rPr>
        <w:t>component of the TPM3</w:t>
      </w:r>
      <w:r>
        <w:rPr>
          <w:rFonts w:cstheme="minorHAnsi"/>
        </w:rPr>
        <w:t xml:space="preserve"> proposal.</w:t>
      </w:r>
    </w:p>
    <w:p w14:paraId="53179A4B" w14:textId="70A84C3B" w:rsidR="0030490C" w:rsidRPr="003E7F38" w:rsidRDefault="00AE7A40" w:rsidP="0030490C">
      <w:pPr>
        <w:pStyle w:val="UnnumtextBodytext"/>
        <w:numPr>
          <w:ilvl w:val="0"/>
          <w:numId w:val="8"/>
        </w:numPr>
        <w:ind w:left="450" w:hanging="450"/>
        <w:rPr>
          <w:rFonts w:cstheme="minorHAnsi"/>
        </w:rPr>
      </w:pPr>
      <w:r>
        <w:rPr>
          <w:rFonts w:cstheme="minorHAnsi"/>
        </w:rPr>
        <w:t>So, t</w:t>
      </w:r>
      <w:r w:rsidR="001E1CE8">
        <w:rPr>
          <w:rFonts w:cstheme="minorHAnsi"/>
        </w:rPr>
        <w:t xml:space="preserve">urning to the TPM3 proposal from the Authority, </w:t>
      </w:r>
      <w:r w:rsidR="009D2AEB">
        <w:rPr>
          <w:rFonts w:cstheme="minorHAnsi"/>
        </w:rPr>
        <w:t xml:space="preserve">the </w:t>
      </w:r>
      <w:r w:rsidR="00A31D6E">
        <w:rPr>
          <w:rFonts w:cstheme="minorHAnsi"/>
        </w:rPr>
        <w:t xml:space="preserve">ENA </w:t>
      </w:r>
      <w:r w:rsidR="00240F07">
        <w:rPr>
          <w:rFonts w:cstheme="minorHAnsi"/>
        </w:rPr>
        <w:t>consider</w:t>
      </w:r>
      <w:r w:rsidR="009D2AEB">
        <w:rPr>
          <w:rFonts w:cstheme="minorHAnsi"/>
        </w:rPr>
        <w:t>s</w:t>
      </w:r>
      <w:r w:rsidR="00240F07">
        <w:rPr>
          <w:rFonts w:cstheme="minorHAnsi"/>
        </w:rPr>
        <w:t xml:space="preserve"> that it can be improved upon, with</w:t>
      </w:r>
      <w:r w:rsidR="00D236AB">
        <w:rPr>
          <w:rFonts w:cstheme="minorHAnsi"/>
        </w:rPr>
        <w:t xml:space="preserve"> an eye on</w:t>
      </w:r>
      <w:r w:rsidR="00240F07">
        <w:rPr>
          <w:rFonts w:cstheme="minorHAnsi"/>
        </w:rPr>
        <w:t xml:space="preserve"> the reform </w:t>
      </w:r>
      <w:r w:rsidR="009D2AEB">
        <w:rPr>
          <w:rFonts w:cstheme="minorHAnsi"/>
        </w:rPr>
        <w:t>guidelines that</w:t>
      </w:r>
      <w:r w:rsidR="00240F07">
        <w:rPr>
          <w:rFonts w:cstheme="minorHAnsi"/>
        </w:rPr>
        <w:t xml:space="preserve"> we propose</w:t>
      </w:r>
      <w:r w:rsidR="009D2AEB">
        <w:rPr>
          <w:rFonts w:cstheme="minorHAnsi"/>
        </w:rPr>
        <w:t xml:space="preserve"> </w:t>
      </w:r>
      <w:r w:rsidR="00240F07">
        <w:rPr>
          <w:rFonts w:cstheme="minorHAnsi"/>
        </w:rPr>
        <w:t xml:space="preserve">and our </w:t>
      </w:r>
      <w:r w:rsidR="001E1CE8">
        <w:rPr>
          <w:rFonts w:cstheme="minorHAnsi"/>
        </w:rPr>
        <w:t>submissions</w:t>
      </w:r>
      <w:r w:rsidR="00240F07">
        <w:rPr>
          <w:rFonts w:cstheme="minorHAnsi"/>
        </w:rPr>
        <w:t xml:space="preserve"> on improvements</w:t>
      </w:r>
      <w:r w:rsidR="00A31D6E">
        <w:rPr>
          <w:rFonts w:cstheme="minorHAnsi"/>
        </w:rPr>
        <w:t xml:space="preserve"> fall into 5 areas</w:t>
      </w:r>
      <w:r w:rsidR="0029010A" w:rsidRPr="003E7F38">
        <w:rPr>
          <w:rFonts w:cstheme="minorHAnsi"/>
        </w:rPr>
        <w:t>:</w:t>
      </w:r>
    </w:p>
    <w:p w14:paraId="7D33EF5E" w14:textId="4954B904" w:rsidR="00B5525C" w:rsidRDefault="002017EA" w:rsidP="009F480C">
      <w:pPr>
        <w:pStyle w:val="UnnumtextBodytext"/>
        <w:numPr>
          <w:ilvl w:val="1"/>
          <w:numId w:val="17"/>
        </w:numPr>
        <w:ind w:left="990" w:hanging="450"/>
        <w:rPr>
          <w:rFonts w:cstheme="minorHAnsi"/>
        </w:rPr>
      </w:pPr>
      <w:r w:rsidRPr="002017EA">
        <w:rPr>
          <w:rFonts w:cstheme="minorHAnsi"/>
          <w:u w:val="single"/>
        </w:rPr>
        <w:t>Cost allocation</w:t>
      </w:r>
      <w:r>
        <w:rPr>
          <w:rFonts w:cstheme="minorHAnsi"/>
        </w:rPr>
        <w:t xml:space="preserve">. </w:t>
      </w:r>
      <w:r w:rsidR="00B5525C">
        <w:rPr>
          <w:rFonts w:cstheme="minorHAnsi"/>
        </w:rPr>
        <w:t>W</w:t>
      </w:r>
      <w:r w:rsidR="00E06448" w:rsidRPr="003E7F38">
        <w:rPr>
          <w:rFonts w:cstheme="minorHAnsi"/>
        </w:rPr>
        <w:t xml:space="preserve">e </w:t>
      </w:r>
      <w:r w:rsidR="00B5525C">
        <w:rPr>
          <w:rFonts w:cstheme="minorHAnsi"/>
        </w:rPr>
        <w:t xml:space="preserve">still </w:t>
      </w:r>
      <w:r w:rsidR="00E06448" w:rsidRPr="003E7F38">
        <w:rPr>
          <w:rFonts w:cstheme="minorHAnsi"/>
        </w:rPr>
        <w:t>struggle to understand how changes to the allocation of sunk grid costs can improve economic efficiency</w:t>
      </w:r>
      <w:r w:rsidR="00A938E1">
        <w:rPr>
          <w:rFonts w:cstheme="minorHAnsi"/>
        </w:rPr>
        <w:t xml:space="preserve"> (</w:t>
      </w:r>
      <w:proofErr w:type="gramStart"/>
      <w:r w:rsidR="00A938E1">
        <w:rPr>
          <w:rFonts w:cstheme="minorHAnsi"/>
        </w:rPr>
        <w:t>with the</w:t>
      </w:r>
      <w:r w:rsidR="008F2B95">
        <w:rPr>
          <w:rFonts w:cstheme="minorHAnsi"/>
        </w:rPr>
        <w:t xml:space="preserve"> possible</w:t>
      </w:r>
      <w:r w:rsidR="00A938E1">
        <w:rPr>
          <w:rFonts w:cstheme="minorHAnsi"/>
        </w:rPr>
        <w:t xml:space="preserve"> exception of</w:t>
      </w:r>
      <w:proofErr w:type="gramEnd"/>
      <w:r w:rsidR="00A938E1">
        <w:rPr>
          <w:rFonts w:cstheme="minorHAnsi"/>
        </w:rPr>
        <w:t xml:space="preserve"> the HVDC)</w:t>
      </w:r>
      <w:r w:rsidR="00E06448" w:rsidRPr="003E7F38">
        <w:rPr>
          <w:rFonts w:cstheme="minorHAnsi"/>
        </w:rPr>
        <w:t xml:space="preserve">. </w:t>
      </w:r>
      <w:r w:rsidR="008F2B95">
        <w:rPr>
          <w:rFonts w:cstheme="minorHAnsi"/>
        </w:rPr>
        <w:t xml:space="preserve">Accepting that </w:t>
      </w:r>
      <w:r w:rsidR="008F3AC1">
        <w:rPr>
          <w:rFonts w:cstheme="minorHAnsi"/>
        </w:rPr>
        <w:t xml:space="preserve">allocation changes </w:t>
      </w:r>
      <w:r w:rsidR="008F2B95">
        <w:rPr>
          <w:rFonts w:cstheme="minorHAnsi"/>
        </w:rPr>
        <w:t>cannot</w:t>
      </w:r>
      <w:r w:rsidR="00150C5D">
        <w:rPr>
          <w:rFonts w:cstheme="minorHAnsi"/>
        </w:rPr>
        <w:t xml:space="preserve"> do so</w:t>
      </w:r>
      <w:r w:rsidR="008F2B95">
        <w:rPr>
          <w:rFonts w:cstheme="minorHAnsi"/>
        </w:rPr>
        <w:t>, i</w:t>
      </w:r>
      <w:r w:rsidR="00AE7A40">
        <w:rPr>
          <w:rFonts w:cstheme="minorHAnsi"/>
        </w:rPr>
        <w:t xml:space="preserve">t seems to us that </w:t>
      </w:r>
      <w:r w:rsidR="008F3AC1">
        <w:rPr>
          <w:rFonts w:cstheme="minorHAnsi"/>
        </w:rPr>
        <w:t>the TPM3 approach</w:t>
      </w:r>
      <w:r w:rsidR="00AE7A40">
        <w:rPr>
          <w:rFonts w:cstheme="minorHAnsi"/>
        </w:rPr>
        <w:t xml:space="preserve"> is </w:t>
      </w:r>
      <w:r w:rsidR="008F2B95">
        <w:rPr>
          <w:rFonts w:cstheme="minorHAnsi"/>
        </w:rPr>
        <w:t xml:space="preserve">simply </w:t>
      </w:r>
      <w:r w:rsidR="00AE7A40">
        <w:rPr>
          <w:rFonts w:cstheme="minorHAnsi"/>
        </w:rPr>
        <w:t>a matter of believing</w:t>
      </w:r>
      <w:r w:rsidR="00B5525C">
        <w:rPr>
          <w:rFonts w:cstheme="minorHAnsi"/>
        </w:rPr>
        <w:t xml:space="preserve"> </w:t>
      </w:r>
      <w:r w:rsidR="00E06448" w:rsidRPr="003E7F38">
        <w:rPr>
          <w:rFonts w:cstheme="minorHAnsi"/>
        </w:rPr>
        <w:t xml:space="preserve">that </w:t>
      </w:r>
      <w:r w:rsidR="00E06448" w:rsidRPr="003E7F38">
        <w:rPr>
          <w:rFonts w:cstheme="minorHAnsi"/>
        </w:rPr>
        <w:lastRenderedPageBreak/>
        <w:t xml:space="preserve">benefits will arise from the reallocation of </w:t>
      </w:r>
      <w:r w:rsidR="00C43442" w:rsidRPr="003E7F38">
        <w:rPr>
          <w:rFonts w:cstheme="minorHAnsi"/>
        </w:rPr>
        <w:t xml:space="preserve">many millions of dollars of Transpower’s costs to </w:t>
      </w:r>
      <w:r w:rsidR="00B5525C">
        <w:rPr>
          <w:rFonts w:cstheme="minorHAnsi"/>
        </w:rPr>
        <w:t xml:space="preserve">different </w:t>
      </w:r>
      <w:r w:rsidR="00C43442" w:rsidRPr="003E7F38">
        <w:rPr>
          <w:rFonts w:cstheme="minorHAnsi"/>
        </w:rPr>
        <w:t>consumers</w:t>
      </w:r>
      <w:r w:rsidR="008F2B95">
        <w:rPr>
          <w:rFonts w:cstheme="minorHAnsi"/>
        </w:rPr>
        <w:t xml:space="preserve"> through the benefits-based charge</w:t>
      </w:r>
      <w:r w:rsidR="00981E98">
        <w:rPr>
          <w:rFonts w:cstheme="minorHAnsi"/>
        </w:rPr>
        <w:t xml:space="preserve"> and a residual</w:t>
      </w:r>
      <w:r w:rsidR="00C43442" w:rsidRPr="003E7F38">
        <w:rPr>
          <w:rFonts w:cstheme="minorHAnsi"/>
        </w:rPr>
        <w:t xml:space="preserve">. </w:t>
      </w:r>
      <w:r w:rsidR="00AE7A40">
        <w:rPr>
          <w:rFonts w:cstheme="minorHAnsi"/>
        </w:rPr>
        <w:t>For us t</w:t>
      </w:r>
      <w:r w:rsidR="00A938E1">
        <w:rPr>
          <w:rFonts w:cstheme="minorHAnsi"/>
        </w:rPr>
        <w:t xml:space="preserve">he process </w:t>
      </w:r>
      <w:r w:rsidR="008F2B95">
        <w:rPr>
          <w:rFonts w:cstheme="minorHAnsi"/>
        </w:rPr>
        <w:t xml:space="preserve">will result in further disputes and </w:t>
      </w:r>
      <w:r w:rsidR="008F3AC1">
        <w:rPr>
          <w:rFonts w:cstheme="minorHAnsi"/>
        </w:rPr>
        <w:t>avoidable</w:t>
      </w:r>
      <w:r w:rsidR="008F2B95">
        <w:rPr>
          <w:rFonts w:cstheme="minorHAnsi"/>
        </w:rPr>
        <w:t xml:space="preserve"> costs</w:t>
      </w:r>
      <w:r w:rsidR="00A938E1">
        <w:rPr>
          <w:rFonts w:cstheme="minorHAnsi"/>
        </w:rPr>
        <w:t>.</w:t>
      </w:r>
    </w:p>
    <w:p w14:paraId="50057722" w14:textId="5D47B40F" w:rsidR="00E06448" w:rsidRPr="003E7F38" w:rsidRDefault="002017EA" w:rsidP="009F480C">
      <w:pPr>
        <w:pStyle w:val="UnnumtextBodytext"/>
        <w:numPr>
          <w:ilvl w:val="1"/>
          <w:numId w:val="17"/>
        </w:numPr>
        <w:ind w:left="990" w:hanging="450"/>
        <w:rPr>
          <w:rFonts w:cstheme="minorHAnsi"/>
        </w:rPr>
      </w:pPr>
      <w:r w:rsidRPr="002017EA">
        <w:rPr>
          <w:rFonts w:cstheme="minorHAnsi"/>
          <w:u w:val="single"/>
        </w:rPr>
        <w:t>Durability and disruption.</w:t>
      </w:r>
      <w:r>
        <w:rPr>
          <w:rFonts w:cstheme="minorHAnsi"/>
        </w:rPr>
        <w:t xml:space="preserve"> </w:t>
      </w:r>
      <w:r w:rsidR="00A51E7D">
        <w:rPr>
          <w:rFonts w:cstheme="minorHAnsi"/>
        </w:rPr>
        <w:t xml:space="preserve">The ENA </w:t>
      </w:r>
      <w:r w:rsidR="00B5525C">
        <w:rPr>
          <w:rFonts w:cstheme="minorHAnsi"/>
        </w:rPr>
        <w:t xml:space="preserve">still </w:t>
      </w:r>
      <w:r w:rsidR="00C43442" w:rsidRPr="003E7F38">
        <w:rPr>
          <w:rFonts w:cstheme="minorHAnsi"/>
        </w:rPr>
        <w:t xml:space="preserve">consider that </w:t>
      </w:r>
      <w:r w:rsidR="008F2B95">
        <w:rPr>
          <w:rFonts w:cstheme="minorHAnsi"/>
        </w:rPr>
        <w:t xml:space="preserve">Transpower could make </w:t>
      </w:r>
      <w:r w:rsidR="00C43442" w:rsidRPr="003E7F38">
        <w:rPr>
          <w:rFonts w:cstheme="minorHAnsi"/>
        </w:rPr>
        <w:t>targeted changes</w:t>
      </w:r>
      <w:r w:rsidR="00A938E1">
        <w:rPr>
          <w:rFonts w:cstheme="minorHAnsi"/>
        </w:rPr>
        <w:t xml:space="preserve"> over time</w:t>
      </w:r>
      <w:r w:rsidR="00C43442" w:rsidRPr="003E7F38">
        <w:rPr>
          <w:rFonts w:cstheme="minorHAnsi"/>
        </w:rPr>
        <w:t xml:space="preserve"> to the existing TPM that would improve outcomes and avoid the material issues that will emerge as Transpower develops</w:t>
      </w:r>
      <w:r w:rsidR="001876D5">
        <w:rPr>
          <w:rFonts w:cstheme="minorHAnsi"/>
        </w:rPr>
        <w:t xml:space="preserve"> and implements</w:t>
      </w:r>
      <w:r w:rsidR="009D2AEB">
        <w:rPr>
          <w:rFonts w:cstheme="minorHAnsi"/>
        </w:rPr>
        <w:t xml:space="preserve"> the Authority’s</w:t>
      </w:r>
      <w:r w:rsidR="00C43442" w:rsidRPr="003E7F38">
        <w:rPr>
          <w:rFonts w:cstheme="minorHAnsi"/>
        </w:rPr>
        <w:t xml:space="preserve"> TPM</w:t>
      </w:r>
      <w:r w:rsidR="00B5525C">
        <w:rPr>
          <w:rFonts w:cstheme="minorHAnsi"/>
        </w:rPr>
        <w:t>3</w:t>
      </w:r>
      <w:r w:rsidR="009D2AEB">
        <w:rPr>
          <w:rFonts w:cstheme="minorHAnsi"/>
        </w:rPr>
        <w:t xml:space="preserve"> </w:t>
      </w:r>
      <w:r w:rsidR="00D236AB">
        <w:rPr>
          <w:rFonts w:cstheme="minorHAnsi"/>
        </w:rPr>
        <w:t>propos</w:t>
      </w:r>
      <w:r w:rsidR="009D2AEB">
        <w:rPr>
          <w:rFonts w:cstheme="minorHAnsi"/>
        </w:rPr>
        <w:t>al</w:t>
      </w:r>
      <w:r w:rsidR="00C43442" w:rsidRPr="003E7F38">
        <w:rPr>
          <w:rFonts w:cstheme="minorHAnsi"/>
        </w:rPr>
        <w:t>.</w:t>
      </w:r>
      <w:r w:rsidR="00B5525C">
        <w:rPr>
          <w:rFonts w:cstheme="minorHAnsi"/>
        </w:rPr>
        <w:t xml:space="preserve"> Changes to the existing </w:t>
      </w:r>
      <w:r w:rsidR="00A938E1">
        <w:rPr>
          <w:rFonts w:cstheme="minorHAnsi"/>
        </w:rPr>
        <w:t>peak period charges</w:t>
      </w:r>
      <w:r w:rsidR="00B5525C">
        <w:rPr>
          <w:rFonts w:cstheme="minorHAnsi"/>
        </w:rPr>
        <w:t xml:space="preserve"> </w:t>
      </w:r>
      <w:r w:rsidR="00A938E1">
        <w:rPr>
          <w:rFonts w:cstheme="minorHAnsi"/>
        </w:rPr>
        <w:t>c</w:t>
      </w:r>
      <w:r w:rsidR="00B5525C">
        <w:rPr>
          <w:rFonts w:cstheme="minorHAnsi"/>
        </w:rPr>
        <w:t xml:space="preserve">ould </w:t>
      </w:r>
      <w:r w:rsidR="00A938E1">
        <w:rPr>
          <w:rFonts w:cstheme="minorHAnsi"/>
        </w:rPr>
        <w:t xml:space="preserve">soften current demand side </w:t>
      </w:r>
      <w:r w:rsidR="00A31D6E">
        <w:rPr>
          <w:rFonts w:cstheme="minorHAnsi"/>
        </w:rPr>
        <w:t>impacts</w:t>
      </w:r>
      <w:r w:rsidR="00AE7A40">
        <w:rPr>
          <w:rFonts w:cstheme="minorHAnsi"/>
        </w:rPr>
        <w:t xml:space="preserve"> (avoidance)</w:t>
      </w:r>
      <w:r w:rsidR="00A938E1">
        <w:rPr>
          <w:rFonts w:cstheme="minorHAnsi"/>
        </w:rPr>
        <w:t xml:space="preserve"> and </w:t>
      </w:r>
      <w:r w:rsidR="00AE7A40">
        <w:rPr>
          <w:rFonts w:cstheme="minorHAnsi"/>
        </w:rPr>
        <w:t xml:space="preserve">make the TPM </w:t>
      </w:r>
      <w:r w:rsidR="00D236AB">
        <w:rPr>
          <w:rFonts w:cstheme="minorHAnsi"/>
        </w:rPr>
        <w:t xml:space="preserve">more </w:t>
      </w:r>
      <w:r w:rsidR="00AE7A40">
        <w:rPr>
          <w:rFonts w:cstheme="minorHAnsi"/>
        </w:rPr>
        <w:t>enduring.</w:t>
      </w:r>
    </w:p>
    <w:p w14:paraId="4C5B3DB7" w14:textId="7C27F457" w:rsidR="00B526E0" w:rsidRDefault="002017EA" w:rsidP="009F480C">
      <w:pPr>
        <w:pStyle w:val="UnnumtextBodytext"/>
        <w:numPr>
          <w:ilvl w:val="1"/>
          <w:numId w:val="17"/>
        </w:numPr>
        <w:ind w:left="990" w:hanging="450"/>
        <w:rPr>
          <w:rFonts w:cstheme="minorHAnsi"/>
        </w:rPr>
      </w:pPr>
      <w:r w:rsidRPr="002017EA">
        <w:rPr>
          <w:rFonts w:cstheme="minorHAnsi"/>
          <w:u w:val="single"/>
        </w:rPr>
        <w:t>TPM structure.</w:t>
      </w:r>
      <w:r>
        <w:rPr>
          <w:rFonts w:cstheme="minorHAnsi"/>
        </w:rPr>
        <w:t xml:space="preserve"> </w:t>
      </w:r>
      <w:r w:rsidR="0002466B">
        <w:rPr>
          <w:rFonts w:cstheme="minorHAnsi"/>
        </w:rPr>
        <w:t>We</w:t>
      </w:r>
      <w:r w:rsidR="00A938E1">
        <w:rPr>
          <w:rFonts w:cstheme="minorHAnsi"/>
        </w:rPr>
        <w:t xml:space="preserve"> </w:t>
      </w:r>
      <w:r w:rsidR="002A11FF">
        <w:rPr>
          <w:rFonts w:cstheme="minorHAnsi"/>
        </w:rPr>
        <w:t xml:space="preserve">observe </w:t>
      </w:r>
      <w:r w:rsidR="00A938E1">
        <w:rPr>
          <w:rFonts w:cstheme="minorHAnsi"/>
        </w:rPr>
        <w:t>that the</w:t>
      </w:r>
      <w:r w:rsidR="001562EE" w:rsidRPr="003E7F38">
        <w:rPr>
          <w:rFonts w:cstheme="minorHAnsi"/>
        </w:rPr>
        <w:t xml:space="preserve"> </w:t>
      </w:r>
      <w:r w:rsidR="00A31D6E">
        <w:rPr>
          <w:rFonts w:cstheme="minorHAnsi"/>
        </w:rPr>
        <w:t>Authority now</w:t>
      </w:r>
      <w:r w:rsidR="001562EE" w:rsidRPr="003E7F38">
        <w:rPr>
          <w:rFonts w:cstheme="minorHAnsi"/>
        </w:rPr>
        <w:t xml:space="preserve"> </w:t>
      </w:r>
      <w:r w:rsidR="0001336E">
        <w:rPr>
          <w:rFonts w:cstheme="minorHAnsi"/>
        </w:rPr>
        <w:t>considers</w:t>
      </w:r>
      <w:r w:rsidR="001562EE" w:rsidRPr="003E7F38">
        <w:rPr>
          <w:rFonts w:cstheme="minorHAnsi"/>
        </w:rPr>
        <w:t xml:space="preserve"> that nodal pricing </w:t>
      </w:r>
      <w:r w:rsidR="004B4830" w:rsidRPr="003E7F38">
        <w:rPr>
          <w:rFonts w:cstheme="minorHAnsi"/>
        </w:rPr>
        <w:t>is</w:t>
      </w:r>
      <w:r w:rsidR="00A31D6E">
        <w:rPr>
          <w:rFonts w:cstheme="minorHAnsi"/>
        </w:rPr>
        <w:t xml:space="preserve"> a</w:t>
      </w:r>
      <w:r w:rsidR="004B4830" w:rsidRPr="003E7F38">
        <w:rPr>
          <w:rFonts w:cstheme="minorHAnsi"/>
        </w:rPr>
        <w:t xml:space="preserve"> </w:t>
      </w:r>
      <w:r w:rsidR="00A31D6E">
        <w:rPr>
          <w:rFonts w:cstheme="minorHAnsi"/>
        </w:rPr>
        <w:t>fully e</w:t>
      </w:r>
      <w:r w:rsidR="004B4830" w:rsidRPr="003E7F38">
        <w:rPr>
          <w:rFonts w:cstheme="minorHAnsi"/>
        </w:rPr>
        <w:t>fficient</w:t>
      </w:r>
      <w:r w:rsidR="00A31D6E">
        <w:rPr>
          <w:rFonts w:cstheme="minorHAnsi"/>
        </w:rPr>
        <w:t xml:space="preserve"> signal</w:t>
      </w:r>
      <w:r w:rsidR="004B4830" w:rsidRPr="003E7F38">
        <w:rPr>
          <w:rFonts w:cstheme="minorHAnsi"/>
        </w:rPr>
        <w:t xml:space="preserve"> </w:t>
      </w:r>
      <w:r w:rsidR="0002466B">
        <w:rPr>
          <w:rFonts w:cstheme="minorHAnsi"/>
        </w:rPr>
        <w:t>that can</w:t>
      </w:r>
      <w:r w:rsidR="004B4830" w:rsidRPr="003E7F38">
        <w:rPr>
          <w:rFonts w:cstheme="minorHAnsi"/>
        </w:rPr>
        <w:t xml:space="preserve"> direct use of </w:t>
      </w:r>
      <w:r w:rsidR="00A938E1">
        <w:rPr>
          <w:rFonts w:cstheme="minorHAnsi"/>
        </w:rPr>
        <w:t xml:space="preserve">location </w:t>
      </w:r>
      <w:r w:rsidR="00A31D6E">
        <w:rPr>
          <w:rFonts w:cstheme="minorHAnsi"/>
        </w:rPr>
        <w:t xml:space="preserve">specific </w:t>
      </w:r>
      <w:r w:rsidR="004B4830" w:rsidRPr="003E7F38">
        <w:rPr>
          <w:rFonts w:cstheme="minorHAnsi"/>
        </w:rPr>
        <w:t>grid</w:t>
      </w:r>
      <w:r w:rsidR="00A31D6E">
        <w:rPr>
          <w:rFonts w:cstheme="minorHAnsi"/>
        </w:rPr>
        <w:t xml:space="preserve"> resources</w:t>
      </w:r>
      <w:r w:rsidR="001562EE" w:rsidRPr="003E7F38">
        <w:rPr>
          <w:rFonts w:cstheme="minorHAnsi"/>
        </w:rPr>
        <w:t xml:space="preserve">. </w:t>
      </w:r>
      <w:r w:rsidR="0002466B">
        <w:rPr>
          <w:rFonts w:cstheme="minorHAnsi"/>
        </w:rPr>
        <w:t xml:space="preserve">The </w:t>
      </w:r>
      <w:r w:rsidR="00D543DF" w:rsidRPr="003E7F38">
        <w:rPr>
          <w:rFonts w:cstheme="minorHAnsi"/>
        </w:rPr>
        <w:t>ENA</w:t>
      </w:r>
      <w:r w:rsidR="00A31D6E">
        <w:rPr>
          <w:rFonts w:cstheme="minorHAnsi"/>
        </w:rPr>
        <w:t xml:space="preserve"> </w:t>
      </w:r>
      <w:r w:rsidR="0001336E">
        <w:rPr>
          <w:rFonts w:cstheme="minorHAnsi"/>
        </w:rPr>
        <w:t>retain</w:t>
      </w:r>
      <w:r w:rsidR="0002466B">
        <w:rPr>
          <w:rFonts w:cstheme="minorHAnsi"/>
        </w:rPr>
        <w:t>s</w:t>
      </w:r>
      <w:r w:rsidR="003175B9" w:rsidRPr="003E7F38">
        <w:rPr>
          <w:rFonts w:cstheme="minorHAnsi"/>
        </w:rPr>
        <w:t xml:space="preserve"> </w:t>
      </w:r>
      <w:r w:rsidR="006732BC">
        <w:rPr>
          <w:rFonts w:cstheme="minorHAnsi"/>
        </w:rPr>
        <w:t>a</w:t>
      </w:r>
      <w:r w:rsidR="003175B9" w:rsidRPr="003E7F38">
        <w:rPr>
          <w:rFonts w:cstheme="minorHAnsi"/>
        </w:rPr>
        <w:t xml:space="preserve"> different view</w:t>
      </w:r>
      <w:r w:rsidR="0029010A" w:rsidRPr="003E7F38">
        <w:rPr>
          <w:rFonts w:cstheme="minorHAnsi"/>
        </w:rPr>
        <w:t xml:space="preserve">. </w:t>
      </w:r>
      <w:r w:rsidR="004B4830" w:rsidRPr="003E7F38">
        <w:rPr>
          <w:rFonts w:cstheme="minorHAnsi"/>
        </w:rPr>
        <w:t xml:space="preserve">Nodal pricing </w:t>
      </w:r>
      <w:r w:rsidR="00892C45">
        <w:rPr>
          <w:rFonts w:cstheme="minorHAnsi"/>
        </w:rPr>
        <w:t xml:space="preserve">may be </w:t>
      </w:r>
      <w:r w:rsidR="004B4830" w:rsidRPr="003E7F38">
        <w:rPr>
          <w:rFonts w:cstheme="minorHAnsi"/>
        </w:rPr>
        <w:t>an efficient method of ensuring least-cost dispatch</w:t>
      </w:r>
      <w:r w:rsidR="00A31D6E">
        <w:rPr>
          <w:rFonts w:cstheme="minorHAnsi"/>
        </w:rPr>
        <w:t xml:space="preserve"> </w:t>
      </w:r>
      <w:r w:rsidR="004B4830" w:rsidRPr="003E7F38">
        <w:rPr>
          <w:rFonts w:cstheme="minorHAnsi"/>
        </w:rPr>
        <w:t xml:space="preserve">but </w:t>
      </w:r>
      <w:r w:rsidR="0001336E">
        <w:rPr>
          <w:rFonts w:cstheme="minorHAnsi"/>
        </w:rPr>
        <w:t xml:space="preserve">in our </w:t>
      </w:r>
      <w:r w:rsidR="002A11FF">
        <w:rPr>
          <w:rFonts w:cstheme="minorHAnsi"/>
        </w:rPr>
        <w:t>view, it</w:t>
      </w:r>
      <w:r w:rsidR="0001336E">
        <w:rPr>
          <w:rFonts w:cstheme="minorHAnsi"/>
        </w:rPr>
        <w:t xml:space="preserve"> </w:t>
      </w:r>
      <w:r w:rsidR="004B4830" w:rsidRPr="003E7F38">
        <w:rPr>
          <w:rFonts w:cstheme="minorHAnsi"/>
        </w:rPr>
        <w:t xml:space="preserve">does not provide an enduring </w:t>
      </w:r>
      <w:r w:rsidR="00C43442" w:rsidRPr="003E7F38">
        <w:rPr>
          <w:rFonts w:cstheme="minorHAnsi"/>
        </w:rPr>
        <w:t xml:space="preserve">locational peak </w:t>
      </w:r>
      <w:r w:rsidR="00892C45">
        <w:rPr>
          <w:rFonts w:cstheme="minorHAnsi"/>
        </w:rPr>
        <w:t xml:space="preserve">period </w:t>
      </w:r>
      <w:r w:rsidR="004B4830" w:rsidRPr="003E7F38">
        <w:rPr>
          <w:rFonts w:cstheme="minorHAnsi"/>
        </w:rPr>
        <w:t>signal</w:t>
      </w:r>
      <w:r w:rsidR="00150C5D">
        <w:rPr>
          <w:rFonts w:cstheme="minorHAnsi"/>
        </w:rPr>
        <w:t xml:space="preserve"> for use of the grid</w:t>
      </w:r>
      <w:r w:rsidR="00892C45">
        <w:rPr>
          <w:rFonts w:cstheme="minorHAnsi"/>
        </w:rPr>
        <w:t xml:space="preserve">. </w:t>
      </w:r>
    </w:p>
    <w:p w14:paraId="351892D2" w14:textId="6447762C" w:rsidR="00466A95" w:rsidRPr="003E7F38" w:rsidRDefault="00466A95" w:rsidP="00466A95">
      <w:pPr>
        <w:pStyle w:val="UnnumtextBodytext"/>
        <w:numPr>
          <w:ilvl w:val="1"/>
          <w:numId w:val="17"/>
        </w:numPr>
        <w:ind w:left="990" w:hanging="450"/>
        <w:rPr>
          <w:rFonts w:cstheme="minorHAnsi"/>
        </w:rPr>
      </w:pPr>
      <w:r w:rsidRPr="00466A95">
        <w:rPr>
          <w:rFonts w:cstheme="minorHAnsi"/>
          <w:u w:val="single"/>
        </w:rPr>
        <w:t>Network pricing</w:t>
      </w:r>
      <w:r>
        <w:rPr>
          <w:rFonts w:cstheme="minorHAnsi"/>
        </w:rPr>
        <w:t xml:space="preserve">. </w:t>
      </w:r>
      <w:r w:rsidR="0002466B">
        <w:rPr>
          <w:rFonts w:cstheme="minorHAnsi"/>
        </w:rPr>
        <w:t xml:space="preserve">The </w:t>
      </w:r>
      <w:r w:rsidRPr="003E7F38">
        <w:rPr>
          <w:rFonts w:cstheme="minorHAnsi"/>
        </w:rPr>
        <w:t xml:space="preserve">ENA </w:t>
      </w:r>
      <w:r>
        <w:rPr>
          <w:rFonts w:cstheme="minorHAnsi"/>
        </w:rPr>
        <w:t>remain</w:t>
      </w:r>
      <w:r w:rsidR="0002466B">
        <w:rPr>
          <w:rFonts w:cstheme="minorHAnsi"/>
        </w:rPr>
        <w:t>s</w:t>
      </w:r>
      <w:r w:rsidRPr="003E7F38">
        <w:rPr>
          <w:rFonts w:cstheme="minorHAnsi"/>
        </w:rPr>
        <w:t xml:space="preserve"> concerned about reforms to the pricing arrangements across transmission, distribution, and distributed generation that are underway. These changes to pricing need a coordination process so that the objectives, developments through time, and the implementation </w:t>
      </w:r>
      <w:r w:rsidR="00D236AB">
        <w:rPr>
          <w:rFonts w:cstheme="minorHAnsi"/>
        </w:rPr>
        <w:t>timelines</w:t>
      </w:r>
      <w:r w:rsidRPr="003E7F38">
        <w:rPr>
          <w:rFonts w:cstheme="minorHAnsi"/>
        </w:rPr>
        <w:t xml:space="preserve"> for each can be managed for best results</w:t>
      </w:r>
      <w:r>
        <w:rPr>
          <w:rFonts w:cstheme="minorHAnsi"/>
        </w:rPr>
        <w:t xml:space="preserve"> to consumers</w:t>
      </w:r>
      <w:r w:rsidRPr="003E7F38">
        <w:rPr>
          <w:rFonts w:cstheme="minorHAnsi"/>
        </w:rPr>
        <w:t xml:space="preserve">. </w:t>
      </w:r>
      <w:r w:rsidR="00A853E7">
        <w:rPr>
          <w:rFonts w:cstheme="minorHAnsi"/>
        </w:rPr>
        <w:t>We note the major distortions to pricing signals that result from EDBs being restricted by the LFC regulations on how transmission charges are passed through to retailers and consumers.</w:t>
      </w:r>
    </w:p>
    <w:p w14:paraId="2E2915B5" w14:textId="1F682B00" w:rsidR="00466A95" w:rsidRPr="003E7F38" w:rsidRDefault="00D55606" w:rsidP="00466A95">
      <w:pPr>
        <w:pStyle w:val="UnnumtextBodytext"/>
        <w:numPr>
          <w:ilvl w:val="1"/>
          <w:numId w:val="17"/>
        </w:numPr>
        <w:ind w:left="990" w:hanging="450"/>
        <w:rPr>
          <w:rFonts w:cstheme="minorHAnsi"/>
        </w:rPr>
      </w:pPr>
      <w:r>
        <w:rPr>
          <w:rFonts w:cstheme="minorHAnsi"/>
          <w:u w:val="single"/>
        </w:rPr>
        <w:t>Price cap</w:t>
      </w:r>
      <w:r w:rsidR="00466A95">
        <w:rPr>
          <w:rFonts w:cstheme="minorHAnsi"/>
        </w:rPr>
        <w:t xml:space="preserve">. </w:t>
      </w:r>
      <w:r>
        <w:rPr>
          <w:rFonts w:cstheme="minorHAnsi"/>
        </w:rPr>
        <w:t>The ENA</w:t>
      </w:r>
      <w:r w:rsidRPr="003E7F38">
        <w:rPr>
          <w:rFonts w:cstheme="minorHAnsi"/>
        </w:rPr>
        <w:t xml:space="preserve"> </w:t>
      </w:r>
      <w:r w:rsidR="00466A95" w:rsidRPr="003E7F38">
        <w:rPr>
          <w:rFonts w:cstheme="minorHAnsi"/>
        </w:rPr>
        <w:t>regard</w:t>
      </w:r>
      <w:r>
        <w:rPr>
          <w:rFonts w:cstheme="minorHAnsi"/>
        </w:rPr>
        <w:t>s</w:t>
      </w:r>
      <w:r w:rsidR="00466A95" w:rsidRPr="003E7F38">
        <w:rPr>
          <w:rFonts w:cstheme="minorHAnsi"/>
        </w:rPr>
        <w:t xml:space="preserve"> the inclusion of a cap on</w:t>
      </w:r>
      <w:r w:rsidR="001876D5">
        <w:rPr>
          <w:rFonts w:cstheme="minorHAnsi"/>
        </w:rPr>
        <w:t xml:space="preserve"> changes to</w:t>
      </w:r>
      <w:r w:rsidR="00466A95" w:rsidRPr="003E7F38">
        <w:rPr>
          <w:rFonts w:cstheme="minorHAnsi"/>
        </w:rPr>
        <w:t xml:space="preserve"> TPM</w:t>
      </w:r>
      <w:r w:rsidR="00466A95">
        <w:rPr>
          <w:rFonts w:cstheme="minorHAnsi"/>
        </w:rPr>
        <w:t>3</w:t>
      </w:r>
      <w:r w:rsidR="00466A95" w:rsidRPr="003E7F38">
        <w:rPr>
          <w:rFonts w:cstheme="minorHAnsi"/>
        </w:rPr>
        <w:t xml:space="preserve"> charges for</w:t>
      </w:r>
      <w:r w:rsidR="001876D5">
        <w:rPr>
          <w:rFonts w:cstheme="minorHAnsi"/>
        </w:rPr>
        <w:t xml:space="preserve"> grid connected customers</w:t>
      </w:r>
      <w:r w:rsidR="00466A95" w:rsidRPr="003E7F38">
        <w:rPr>
          <w:rFonts w:cstheme="minorHAnsi"/>
        </w:rPr>
        <w:t xml:space="preserve"> to be arbitrary and</w:t>
      </w:r>
      <w:r w:rsidR="00466A95">
        <w:rPr>
          <w:rFonts w:cstheme="minorHAnsi"/>
        </w:rPr>
        <w:t xml:space="preserve"> </w:t>
      </w:r>
      <w:r w:rsidR="002A11FF">
        <w:rPr>
          <w:rFonts w:cstheme="minorHAnsi"/>
        </w:rPr>
        <w:t>it</w:t>
      </w:r>
      <w:r w:rsidR="008F3AC1">
        <w:rPr>
          <w:rFonts w:cstheme="minorHAnsi"/>
        </w:rPr>
        <w:t xml:space="preserve"> provides little protection against price rises. It also</w:t>
      </w:r>
      <w:r w:rsidR="002A11FF">
        <w:rPr>
          <w:rFonts w:cstheme="minorHAnsi"/>
        </w:rPr>
        <w:t xml:space="preserve"> results in a</w:t>
      </w:r>
      <w:r w:rsidR="00466A95">
        <w:rPr>
          <w:rFonts w:cstheme="minorHAnsi"/>
        </w:rPr>
        <w:t xml:space="preserve"> </w:t>
      </w:r>
      <w:r w:rsidR="002F4BE2">
        <w:rPr>
          <w:rFonts w:cstheme="minorHAnsi"/>
        </w:rPr>
        <w:t>transfer</w:t>
      </w:r>
      <w:r w:rsidR="00466A95">
        <w:rPr>
          <w:rFonts w:cstheme="minorHAnsi"/>
        </w:rPr>
        <w:t xml:space="preserve"> from consumers (via EDBs) to some generators and direct connected large businesses.</w:t>
      </w:r>
      <w:r w:rsidR="00466A95" w:rsidRPr="003E7F38">
        <w:rPr>
          <w:rFonts w:cstheme="minorHAnsi"/>
        </w:rPr>
        <w:t xml:space="preserve"> </w:t>
      </w:r>
      <w:r w:rsidR="00466A95">
        <w:rPr>
          <w:rFonts w:cstheme="minorHAnsi"/>
        </w:rPr>
        <w:t>This is a</w:t>
      </w:r>
      <w:r w:rsidR="00466A95" w:rsidRPr="003E7F38">
        <w:rPr>
          <w:rFonts w:cstheme="minorHAnsi"/>
        </w:rPr>
        <w:t xml:space="preserve"> </w:t>
      </w:r>
      <w:r w:rsidR="001876D5">
        <w:rPr>
          <w:rFonts w:cstheme="minorHAnsi"/>
        </w:rPr>
        <w:t>black mark</w:t>
      </w:r>
      <w:r w:rsidR="00466A95" w:rsidRPr="003E7F38">
        <w:rPr>
          <w:rFonts w:cstheme="minorHAnsi"/>
        </w:rPr>
        <w:t xml:space="preserve"> on the fairness and efficiency of the proposed changes to TPM</w:t>
      </w:r>
      <w:r w:rsidR="00466A95">
        <w:rPr>
          <w:rFonts w:cstheme="minorHAnsi"/>
        </w:rPr>
        <w:t>3</w:t>
      </w:r>
      <w:r w:rsidR="00466A95" w:rsidRPr="003E7F38">
        <w:rPr>
          <w:rFonts w:cstheme="minorHAnsi"/>
        </w:rPr>
        <w:t>.</w:t>
      </w:r>
    </w:p>
    <w:p w14:paraId="3C090C08" w14:textId="2CE76E92" w:rsidR="002954AD" w:rsidRPr="003E7F38" w:rsidRDefault="002954AD" w:rsidP="002954AD">
      <w:pPr>
        <w:pStyle w:val="UnnumtextBodytext"/>
        <w:rPr>
          <w:rStyle w:val="Heading6Char"/>
          <w:rFonts w:asciiTheme="minorHAnsi" w:hAnsiTheme="minorHAnsi" w:cstheme="minorHAnsi"/>
          <w:color w:val="00B0F0"/>
          <w:sz w:val="24"/>
        </w:rPr>
      </w:pPr>
      <w:r w:rsidRPr="003E7F38">
        <w:rPr>
          <w:rStyle w:val="Heading6Char"/>
          <w:rFonts w:asciiTheme="minorHAnsi" w:hAnsiTheme="minorHAnsi" w:cstheme="minorHAnsi"/>
          <w:color w:val="00B0F0"/>
          <w:sz w:val="24"/>
        </w:rPr>
        <w:t xml:space="preserve">ENA </w:t>
      </w:r>
      <w:r w:rsidR="009F4F87">
        <w:rPr>
          <w:rStyle w:val="Heading6Char"/>
          <w:rFonts w:asciiTheme="minorHAnsi" w:hAnsiTheme="minorHAnsi" w:cstheme="minorHAnsi"/>
          <w:color w:val="00B0F0"/>
          <w:sz w:val="24"/>
        </w:rPr>
        <w:t>recommendations</w:t>
      </w:r>
    </w:p>
    <w:p w14:paraId="7B7BAF0E" w14:textId="68FF3FEE" w:rsidR="00FB4256" w:rsidRPr="003E7F38" w:rsidRDefault="008F3AC1" w:rsidP="002954AD">
      <w:pPr>
        <w:pStyle w:val="UnnumtextBodytext"/>
        <w:numPr>
          <w:ilvl w:val="0"/>
          <w:numId w:val="8"/>
        </w:numPr>
        <w:ind w:left="450" w:hanging="450"/>
        <w:rPr>
          <w:rFonts w:cstheme="minorHAnsi"/>
        </w:rPr>
      </w:pPr>
      <w:r>
        <w:rPr>
          <w:rFonts w:cstheme="minorHAnsi"/>
        </w:rPr>
        <w:t>The ENA</w:t>
      </w:r>
      <w:r w:rsidR="002A7E67" w:rsidRPr="003728D2">
        <w:rPr>
          <w:rFonts w:cstheme="minorHAnsi"/>
        </w:rPr>
        <w:t xml:space="preserve"> </w:t>
      </w:r>
      <w:r w:rsidR="00126F99" w:rsidRPr="003728D2">
        <w:rPr>
          <w:rFonts w:cstheme="minorHAnsi"/>
        </w:rPr>
        <w:t xml:space="preserve">therefore </w:t>
      </w:r>
      <w:r w:rsidR="002A7E67" w:rsidRPr="003728D2">
        <w:rPr>
          <w:rFonts w:cstheme="minorHAnsi"/>
        </w:rPr>
        <w:t>consider that</w:t>
      </w:r>
      <w:r w:rsidR="00126F99" w:rsidRPr="003728D2">
        <w:rPr>
          <w:rFonts w:cstheme="minorHAnsi"/>
        </w:rPr>
        <w:t xml:space="preserve"> </w:t>
      </w:r>
      <w:r w:rsidR="000B14E4" w:rsidRPr="003728D2">
        <w:rPr>
          <w:rFonts w:cstheme="minorHAnsi"/>
        </w:rPr>
        <w:t>TPM changes</w:t>
      </w:r>
      <w:r w:rsidR="000B14E4">
        <w:rPr>
          <w:rFonts w:cstheme="minorHAnsi"/>
        </w:rPr>
        <w:t xml:space="preserve"> should focus</w:t>
      </w:r>
      <w:r w:rsidR="009F4F87">
        <w:rPr>
          <w:rFonts w:cstheme="minorHAnsi"/>
        </w:rPr>
        <w:t>, in a manner</w:t>
      </w:r>
      <w:r>
        <w:rPr>
          <w:rFonts w:cstheme="minorHAnsi"/>
        </w:rPr>
        <w:t xml:space="preserve"> </w:t>
      </w:r>
      <w:r w:rsidR="006732BC">
        <w:rPr>
          <w:rFonts w:cstheme="minorHAnsi"/>
        </w:rPr>
        <w:t>of</w:t>
      </w:r>
      <w:r>
        <w:rPr>
          <w:rFonts w:cstheme="minorHAnsi"/>
        </w:rPr>
        <w:t xml:space="preserve"> our guidelines</w:t>
      </w:r>
      <w:r w:rsidR="009F4F87">
        <w:rPr>
          <w:rFonts w:cstheme="minorHAnsi"/>
        </w:rPr>
        <w:t>,</w:t>
      </w:r>
      <w:r w:rsidR="000B14E4">
        <w:rPr>
          <w:rFonts w:cstheme="minorHAnsi"/>
        </w:rPr>
        <w:t xml:space="preserve"> </w:t>
      </w:r>
      <w:r w:rsidR="002A7E67" w:rsidRPr="003E7F38">
        <w:rPr>
          <w:rFonts w:cstheme="minorHAnsi"/>
        </w:rPr>
        <w:t xml:space="preserve">on </w:t>
      </w:r>
      <w:r w:rsidR="006051E0" w:rsidRPr="003E7F38">
        <w:rPr>
          <w:rFonts w:cstheme="minorHAnsi"/>
        </w:rPr>
        <w:t xml:space="preserve">the </w:t>
      </w:r>
      <w:r w:rsidR="002A7E67" w:rsidRPr="003E7F38">
        <w:rPr>
          <w:rFonts w:cstheme="minorHAnsi"/>
        </w:rPr>
        <w:t xml:space="preserve">core </w:t>
      </w:r>
      <w:r w:rsidR="006051E0" w:rsidRPr="003E7F38">
        <w:rPr>
          <w:rFonts w:cstheme="minorHAnsi"/>
        </w:rPr>
        <w:t>issues that relate to</w:t>
      </w:r>
      <w:r w:rsidR="00F80777" w:rsidRPr="003E7F38">
        <w:rPr>
          <w:rFonts w:cstheme="minorHAnsi"/>
        </w:rPr>
        <w:t xml:space="preserve"> economic</w:t>
      </w:r>
      <w:r w:rsidR="006051E0" w:rsidRPr="003E7F38">
        <w:rPr>
          <w:rFonts w:cstheme="minorHAnsi"/>
        </w:rPr>
        <w:t xml:space="preserve"> pricing</w:t>
      </w:r>
      <w:r w:rsidR="00F80777" w:rsidRPr="003E7F38">
        <w:rPr>
          <w:rFonts w:cstheme="minorHAnsi"/>
        </w:rPr>
        <w:t xml:space="preserve"> signals</w:t>
      </w:r>
      <w:r w:rsidR="006051E0" w:rsidRPr="003E7F38">
        <w:rPr>
          <w:rFonts w:cstheme="minorHAnsi"/>
        </w:rPr>
        <w:t xml:space="preserve"> and </w:t>
      </w:r>
      <w:r w:rsidR="00F80777" w:rsidRPr="003E7F38">
        <w:rPr>
          <w:rFonts w:cstheme="minorHAnsi"/>
        </w:rPr>
        <w:t xml:space="preserve">the </w:t>
      </w:r>
      <w:r w:rsidR="006051E0" w:rsidRPr="003E7F38">
        <w:rPr>
          <w:rFonts w:cstheme="minorHAnsi"/>
        </w:rPr>
        <w:t>recovery of embedded grid costs</w:t>
      </w:r>
      <w:r w:rsidR="00F80777" w:rsidRPr="003E7F38">
        <w:rPr>
          <w:rFonts w:cstheme="minorHAnsi"/>
        </w:rPr>
        <w:t>, as follows:</w:t>
      </w:r>
    </w:p>
    <w:p w14:paraId="7C2847D5" w14:textId="4495704C" w:rsidR="00F80777" w:rsidRPr="003E7F38" w:rsidRDefault="00F96AA0" w:rsidP="009F480C">
      <w:pPr>
        <w:pStyle w:val="UnnumtextBodytext"/>
        <w:numPr>
          <w:ilvl w:val="1"/>
          <w:numId w:val="8"/>
        </w:numPr>
        <w:ind w:left="990" w:hanging="450"/>
        <w:rPr>
          <w:rFonts w:cstheme="minorHAnsi"/>
        </w:rPr>
      </w:pPr>
      <w:r w:rsidRPr="003E7F38">
        <w:rPr>
          <w:rFonts w:cstheme="minorHAnsi"/>
        </w:rPr>
        <w:t>On the question whether</w:t>
      </w:r>
      <w:r w:rsidR="00F80777" w:rsidRPr="003E7F38">
        <w:rPr>
          <w:rFonts w:cstheme="minorHAnsi"/>
        </w:rPr>
        <w:t xml:space="preserve"> nodal pricing provide an a</w:t>
      </w:r>
      <w:r w:rsidRPr="003E7F38">
        <w:rPr>
          <w:rFonts w:cstheme="minorHAnsi"/>
        </w:rPr>
        <w:t xml:space="preserve">dequate locational price signal, </w:t>
      </w:r>
      <w:r w:rsidR="00126F99" w:rsidRPr="003E7F38">
        <w:rPr>
          <w:rFonts w:cstheme="minorHAnsi"/>
        </w:rPr>
        <w:t xml:space="preserve">ENA </w:t>
      </w:r>
      <w:r w:rsidR="008F3AC1">
        <w:rPr>
          <w:rFonts w:cstheme="minorHAnsi"/>
        </w:rPr>
        <w:t>submits</w:t>
      </w:r>
      <w:r w:rsidR="00F801A8" w:rsidRPr="003E7F38">
        <w:rPr>
          <w:rFonts w:cstheme="minorHAnsi"/>
        </w:rPr>
        <w:t xml:space="preserve"> that a </w:t>
      </w:r>
      <w:r w:rsidR="009F4F87">
        <w:rPr>
          <w:rFonts w:cstheme="minorHAnsi"/>
        </w:rPr>
        <w:t>peak period charge</w:t>
      </w:r>
      <w:r w:rsidR="00F801A8" w:rsidRPr="003E7F38">
        <w:rPr>
          <w:rFonts w:cstheme="minorHAnsi"/>
        </w:rPr>
        <w:t xml:space="preserve"> o</w:t>
      </w:r>
      <w:r w:rsidR="009F4F87">
        <w:rPr>
          <w:rFonts w:cstheme="minorHAnsi"/>
        </w:rPr>
        <w:t>f some sort</w:t>
      </w:r>
      <w:r w:rsidR="00F801A8" w:rsidRPr="003E7F38">
        <w:rPr>
          <w:rFonts w:cstheme="minorHAnsi"/>
        </w:rPr>
        <w:t xml:space="preserve"> </w:t>
      </w:r>
      <w:r w:rsidR="008D7BA6" w:rsidRPr="003E7F38">
        <w:rPr>
          <w:rFonts w:cstheme="minorHAnsi"/>
        </w:rPr>
        <w:t>must</w:t>
      </w:r>
      <w:r w:rsidR="00F801A8" w:rsidRPr="003E7F38">
        <w:rPr>
          <w:rFonts w:cstheme="minorHAnsi"/>
        </w:rPr>
        <w:t xml:space="preserve"> be employed </w:t>
      </w:r>
      <w:r w:rsidR="000B14E4">
        <w:rPr>
          <w:rFonts w:cstheme="minorHAnsi"/>
        </w:rPr>
        <w:t xml:space="preserve">in an enduring way </w:t>
      </w:r>
      <w:r w:rsidR="00F801A8" w:rsidRPr="003E7F38">
        <w:rPr>
          <w:rFonts w:cstheme="minorHAnsi"/>
        </w:rPr>
        <w:t xml:space="preserve">to ensure that clear </w:t>
      </w:r>
      <w:r w:rsidR="00753EA2" w:rsidRPr="003E7F38">
        <w:rPr>
          <w:rFonts w:cstheme="minorHAnsi"/>
        </w:rPr>
        <w:t xml:space="preserve">peak </w:t>
      </w:r>
      <w:r w:rsidR="00EF392B">
        <w:rPr>
          <w:rFonts w:cstheme="minorHAnsi"/>
        </w:rPr>
        <w:t>period</w:t>
      </w:r>
      <w:r w:rsidR="00753EA2" w:rsidRPr="003E7F38">
        <w:rPr>
          <w:rFonts w:cstheme="minorHAnsi"/>
        </w:rPr>
        <w:t xml:space="preserve"> </w:t>
      </w:r>
      <w:r w:rsidR="00126F99" w:rsidRPr="003E7F38">
        <w:rPr>
          <w:rFonts w:cstheme="minorHAnsi"/>
        </w:rPr>
        <w:t>pricing</w:t>
      </w:r>
      <w:r w:rsidR="00F801A8" w:rsidRPr="003E7F38">
        <w:rPr>
          <w:rFonts w:cstheme="minorHAnsi"/>
        </w:rPr>
        <w:t xml:space="preserve"> signals are available to grid users</w:t>
      </w:r>
      <w:r w:rsidR="008F3AC1">
        <w:rPr>
          <w:rFonts w:cstheme="minorHAnsi"/>
        </w:rPr>
        <w:t xml:space="preserve"> </w:t>
      </w:r>
      <w:r w:rsidR="00B90955" w:rsidRPr="003E7F38">
        <w:rPr>
          <w:rFonts w:cstheme="minorHAnsi"/>
        </w:rPr>
        <w:t>over the medium term,</w:t>
      </w:r>
      <w:r w:rsidR="00D230E8" w:rsidRPr="003E7F38">
        <w:rPr>
          <w:rFonts w:cstheme="minorHAnsi"/>
        </w:rPr>
        <w:t xml:space="preserve"> and ultimately to end consumers</w:t>
      </w:r>
      <w:r w:rsidR="009F4F87">
        <w:rPr>
          <w:rFonts w:cstheme="minorHAnsi"/>
        </w:rPr>
        <w:t xml:space="preserve"> as they consider </w:t>
      </w:r>
      <w:r w:rsidR="002A11FF">
        <w:rPr>
          <w:rFonts w:cstheme="minorHAnsi"/>
        </w:rPr>
        <w:t>consumption and investment options</w:t>
      </w:r>
      <w:r w:rsidR="009F4F87">
        <w:rPr>
          <w:rFonts w:cstheme="minorHAnsi"/>
        </w:rPr>
        <w:t>.</w:t>
      </w:r>
    </w:p>
    <w:p w14:paraId="233178FA" w14:textId="7109AA18" w:rsidR="00F80777" w:rsidRPr="003E7F38" w:rsidRDefault="00427729" w:rsidP="009F480C">
      <w:pPr>
        <w:pStyle w:val="UnnumtextBodytext"/>
        <w:numPr>
          <w:ilvl w:val="1"/>
          <w:numId w:val="8"/>
        </w:numPr>
        <w:ind w:left="990" w:hanging="450"/>
        <w:rPr>
          <w:rFonts w:cstheme="minorHAnsi"/>
        </w:rPr>
      </w:pPr>
      <w:r w:rsidRPr="003E7F38">
        <w:rPr>
          <w:rFonts w:cstheme="minorHAnsi"/>
        </w:rPr>
        <w:t xml:space="preserve">ENA </w:t>
      </w:r>
      <w:r w:rsidR="00981E98">
        <w:rPr>
          <w:rFonts w:cstheme="minorHAnsi"/>
        </w:rPr>
        <w:t xml:space="preserve">only </w:t>
      </w:r>
      <w:r w:rsidR="00EC6AF0" w:rsidRPr="003E7F38">
        <w:rPr>
          <w:rFonts w:cstheme="minorHAnsi"/>
        </w:rPr>
        <w:t xml:space="preserve">supports </w:t>
      </w:r>
      <w:r w:rsidR="00981E98">
        <w:rPr>
          <w:rFonts w:cstheme="minorHAnsi"/>
        </w:rPr>
        <w:t>re-</w:t>
      </w:r>
      <w:r w:rsidR="006732BC">
        <w:rPr>
          <w:rFonts w:cstheme="minorHAnsi"/>
        </w:rPr>
        <w:t>allocating</w:t>
      </w:r>
      <w:r w:rsidR="00981E98">
        <w:rPr>
          <w:rFonts w:cstheme="minorHAnsi"/>
        </w:rPr>
        <w:t xml:space="preserve"> costs</w:t>
      </w:r>
      <w:r w:rsidR="006732BC">
        <w:rPr>
          <w:rFonts w:cstheme="minorHAnsi"/>
        </w:rPr>
        <w:t xml:space="preserve"> </w:t>
      </w:r>
      <w:r w:rsidR="00A425BB">
        <w:rPr>
          <w:rFonts w:cstheme="minorHAnsi"/>
        </w:rPr>
        <w:t>where it would clearly improve efficiency</w:t>
      </w:r>
      <w:r w:rsidR="006732BC">
        <w:rPr>
          <w:rFonts w:cstheme="minorHAnsi"/>
        </w:rPr>
        <w:t>, h</w:t>
      </w:r>
      <w:r w:rsidR="00EF392B">
        <w:rPr>
          <w:rFonts w:cstheme="minorHAnsi"/>
        </w:rPr>
        <w:t>owever</w:t>
      </w:r>
      <w:r w:rsidR="006732BC">
        <w:rPr>
          <w:rFonts w:cstheme="minorHAnsi"/>
        </w:rPr>
        <w:t xml:space="preserve"> </w:t>
      </w:r>
      <w:r w:rsidR="00EF392B">
        <w:rPr>
          <w:rFonts w:cstheme="minorHAnsi"/>
        </w:rPr>
        <w:t>we</w:t>
      </w:r>
      <w:r w:rsidR="000541BF">
        <w:rPr>
          <w:rFonts w:cstheme="minorHAnsi"/>
        </w:rPr>
        <w:t xml:space="preserve"> consider that the </w:t>
      </w:r>
      <w:r w:rsidR="00D236AB">
        <w:rPr>
          <w:rFonts w:cstheme="minorHAnsi"/>
        </w:rPr>
        <w:t>benefits-based</w:t>
      </w:r>
      <w:r w:rsidR="000541BF">
        <w:rPr>
          <w:rFonts w:cstheme="minorHAnsi"/>
        </w:rPr>
        <w:t xml:space="preserve"> </w:t>
      </w:r>
      <w:r w:rsidR="00D236AB">
        <w:rPr>
          <w:rFonts w:cstheme="minorHAnsi"/>
        </w:rPr>
        <w:t xml:space="preserve">charge, as proposed, </w:t>
      </w:r>
      <w:r w:rsidR="000541BF">
        <w:rPr>
          <w:rFonts w:cstheme="minorHAnsi"/>
        </w:rPr>
        <w:t xml:space="preserve">is arbitrary </w:t>
      </w:r>
      <w:r w:rsidR="00150C5D">
        <w:rPr>
          <w:rFonts w:cstheme="minorHAnsi"/>
        </w:rPr>
        <w:t>and</w:t>
      </w:r>
      <w:r w:rsidR="000541BF">
        <w:rPr>
          <w:rFonts w:cstheme="minorHAnsi"/>
        </w:rPr>
        <w:t xml:space="preserve"> will impact TPM durability. </w:t>
      </w:r>
      <w:r w:rsidR="00EF392B">
        <w:rPr>
          <w:rFonts w:cstheme="minorHAnsi"/>
        </w:rPr>
        <w:t xml:space="preserve">We </w:t>
      </w:r>
      <w:r w:rsidR="002A11FF">
        <w:rPr>
          <w:rFonts w:cstheme="minorHAnsi"/>
        </w:rPr>
        <w:t>recommend</w:t>
      </w:r>
      <w:r w:rsidR="000541BF">
        <w:rPr>
          <w:rFonts w:cstheme="minorHAnsi"/>
        </w:rPr>
        <w:t xml:space="preserve"> that a</w:t>
      </w:r>
      <w:r w:rsidR="000541BF" w:rsidRPr="00C842E7">
        <w:rPr>
          <w:rFonts w:cstheme="minorHAnsi"/>
        </w:rPr>
        <w:t>ny benefits base methodology</w:t>
      </w:r>
      <w:r w:rsidR="000541BF">
        <w:rPr>
          <w:rFonts w:cstheme="minorHAnsi"/>
        </w:rPr>
        <w:t xml:space="preserve"> </w:t>
      </w:r>
      <w:r w:rsidR="000541BF" w:rsidRPr="00C842E7">
        <w:rPr>
          <w:rFonts w:cstheme="minorHAnsi"/>
        </w:rPr>
        <w:t xml:space="preserve">should be limited to specific situations </w:t>
      </w:r>
      <w:r w:rsidR="00A425BB">
        <w:rPr>
          <w:rFonts w:cstheme="minorHAnsi"/>
        </w:rPr>
        <w:t>t</w:t>
      </w:r>
      <w:r w:rsidR="00981E98">
        <w:rPr>
          <w:rFonts w:cstheme="minorHAnsi"/>
        </w:rPr>
        <w:t>hat</w:t>
      </w:r>
      <w:r w:rsidR="00A425BB">
        <w:rPr>
          <w:rFonts w:cstheme="minorHAnsi"/>
        </w:rPr>
        <w:t xml:space="preserve"> correct a distortion in the market or improve efficiency</w:t>
      </w:r>
      <w:r w:rsidR="00981E98">
        <w:rPr>
          <w:rFonts w:cstheme="minorHAnsi"/>
        </w:rPr>
        <w:t xml:space="preserve"> – the </w:t>
      </w:r>
      <w:r w:rsidR="000541BF">
        <w:rPr>
          <w:rFonts w:cstheme="minorHAnsi"/>
        </w:rPr>
        <w:t xml:space="preserve">recovery of sunk </w:t>
      </w:r>
      <w:r w:rsidR="000541BF" w:rsidRPr="00C842E7">
        <w:rPr>
          <w:rFonts w:cstheme="minorHAnsi"/>
        </w:rPr>
        <w:t>cost</w:t>
      </w:r>
      <w:r w:rsidR="000541BF">
        <w:rPr>
          <w:rFonts w:cstheme="minorHAnsi"/>
        </w:rPr>
        <w:t xml:space="preserve">s </w:t>
      </w:r>
      <w:r w:rsidR="000541BF" w:rsidRPr="00C842E7">
        <w:rPr>
          <w:rFonts w:cstheme="minorHAnsi"/>
        </w:rPr>
        <w:t xml:space="preserve">should default to a broad-based framework for simplicity and </w:t>
      </w:r>
      <w:r w:rsidR="000541BF">
        <w:rPr>
          <w:rFonts w:cstheme="minorHAnsi"/>
        </w:rPr>
        <w:t xml:space="preserve">the </w:t>
      </w:r>
      <w:r w:rsidR="000541BF" w:rsidRPr="00C842E7">
        <w:rPr>
          <w:rFonts w:cstheme="minorHAnsi"/>
        </w:rPr>
        <w:t>avoidance</w:t>
      </w:r>
      <w:r w:rsidR="000541BF">
        <w:rPr>
          <w:rFonts w:cstheme="minorHAnsi"/>
        </w:rPr>
        <w:t xml:space="preserve"> of</w:t>
      </w:r>
      <w:r w:rsidR="000541BF" w:rsidRPr="000541BF">
        <w:rPr>
          <w:rFonts w:cstheme="minorHAnsi"/>
        </w:rPr>
        <w:t xml:space="preserve"> </w:t>
      </w:r>
      <w:r w:rsidR="000541BF" w:rsidRPr="00C842E7">
        <w:rPr>
          <w:rFonts w:cstheme="minorHAnsi"/>
        </w:rPr>
        <w:t>dispute</w:t>
      </w:r>
      <w:r w:rsidR="000541BF">
        <w:rPr>
          <w:rFonts w:cstheme="minorHAnsi"/>
        </w:rPr>
        <w:t>s</w:t>
      </w:r>
      <w:r w:rsidR="000541BF" w:rsidRPr="00C842E7">
        <w:rPr>
          <w:rFonts w:cstheme="minorHAnsi"/>
        </w:rPr>
        <w:t>.</w:t>
      </w:r>
    </w:p>
    <w:p w14:paraId="28CE7854" w14:textId="4956DF79" w:rsidR="00DB28F6" w:rsidRPr="003E7F38" w:rsidRDefault="00D06C47" w:rsidP="009F480C">
      <w:pPr>
        <w:pStyle w:val="UnnumtextBodytext"/>
        <w:numPr>
          <w:ilvl w:val="1"/>
          <w:numId w:val="8"/>
        </w:numPr>
        <w:ind w:left="990" w:hanging="450"/>
        <w:rPr>
          <w:rFonts w:cstheme="minorHAnsi"/>
        </w:rPr>
      </w:pPr>
      <w:r>
        <w:rPr>
          <w:rFonts w:cstheme="minorHAnsi"/>
        </w:rPr>
        <w:t>B</w:t>
      </w:r>
      <w:r w:rsidR="00A334F2">
        <w:rPr>
          <w:rFonts w:cstheme="minorHAnsi"/>
        </w:rPr>
        <w:t>ecause the point of TPM aggravation moves from the Authority to Transpower,</w:t>
      </w:r>
      <w:r w:rsidR="00753EA2" w:rsidRPr="003E7F38">
        <w:rPr>
          <w:rFonts w:cstheme="minorHAnsi"/>
        </w:rPr>
        <w:t xml:space="preserve"> </w:t>
      </w:r>
      <w:r w:rsidR="00EF392B">
        <w:rPr>
          <w:rFonts w:cstheme="minorHAnsi"/>
        </w:rPr>
        <w:t>the ENA</w:t>
      </w:r>
      <w:r w:rsidR="000541BF">
        <w:rPr>
          <w:rFonts w:cstheme="minorHAnsi"/>
        </w:rPr>
        <w:t xml:space="preserve"> </w:t>
      </w:r>
      <w:r w:rsidR="002A11FF">
        <w:rPr>
          <w:rFonts w:cstheme="minorHAnsi"/>
        </w:rPr>
        <w:t>recommend</w:t>
      </w:r>
      <w:r w:rsidR="000541BF">
        <w:rPr>
          <w:rFonts w:cstheme="minorHAnsi"/>
        </w:rPr>
        <w:t xml:space="preserve"> that </w:t>
      </w:r>
      <w:r w:rsidR="00753EA2" w:rsidRPr="003E7F38">
        <w:rPr>
          <w:rFonts w:cstheme="minorHAnsi"/>
        </w:rPr>
        <w:t>Transpower</w:t>
      </w:r>
      <w:r>
        <w:rPr>
          <w:rFonts w:cstheme="minorHAnsi"/>
        </w:rPr>
        <w:t xml:space="preserve"> be given</w:t>
      </w:r>
      <w:r w:rsidR="00753EA2" w:rsidRPr="003E7F38">
        <w:rPr>
          <w:rFonts w:cstheme="minorHAnsi"/>
        </w:rPr>
        <w:t xml:space="preserve"> flexibilit</w:t>
      </w:r>
      <w:r w:rsidR="003C687D" w:rsidRPr="003E7F38">
        <w:rPr>
          <w:rFonts w:cstheme="minorHAnsi"/>
        </w:rPr>
        <w:t xml:space="preserve">y </w:t>
      </w:r>
      <w:r w:rsidR="00C7497B">
        <w:rPr>
          <w:rFonts w:cstheme="minorHAnsi"/>
        </w:rPr>
        <w:t xml:space="preserve">to </w:t>
      </w:r>
      <w:r w:rsidR="00753EA2" w:rsidRPr="003E7F38">
        <w:rPr>
          <w:rFonts w:cstheme="minorHAnsi"/>
        </w:rPr>
        <w:t>encourage peak</w:t>
      </w:r>
      <w:r w:rsidR="00F96AA0" w:rsidRPr="003E7F38">
        <w:rPr>
          <w:rFonts w:cstheme="minorHAnsi"/>
        </w:rPr>
        <w:t xml:space="preserve"> demand</w:t>
      </w:r>
      <w:r w:rsidR="00753EA2" w:rsidRPr="003E7F38">
        <w:rPr>
          <w:rFonts w:cstheme="minorHAnsi"/>
        </w:rPr>
        <w:t xml:space="preserve"> management if it emerges that </w:t>
      </w:r>
      <w:r w:rsidR="002A11FF">
        <w:rPr>
          <w:rFonts w:cstheme="minorHAnsi"/>
        </w:rPr>
        <w:t>the consequences</w:t>
      </w:r>
      <w:r w:rsidR="00753EA2" w:rsidRPr="003E7F38">
        <w:rPr>
          <w:rFonts w:cstheme="minorHAnsi"/>
        </w:rPr>
        <w:t xml:space="preserve"> </w:t>
      </w:r>
      <w:r w:rsidR="00C7497B">
        <w:rPr>
          <w:rFonts w:cstheme="minorHAnsi"/>
        </w:rPr>
        <w:t>from</w:t>
      </w:r>
      <w:r w:rsidR="002A11FF">
        <w:rPr>
          <w:rFonts w:cstheme="minorHAnsi"/>
        </w:rPr>
        <w:t xml:space="preserve"> the</w:t>
      </w:r>
      <w:r w:rsidR="00C7497B">
        <w:rPr>
          <w:rFonts w:cstheme="minorHAnsi"/>
        </w:rPr>
        <w:t xml:space="preserve"> removal of the</w:t>
      </w:r>
      <w:r w:rsidR="00BC68AB">
        <w:rPr>
          <w:rFonts w:cstheme="minorHAnsi"/>
        </w:rPr>
        <w:t xml:space="preserve"> current peak charge</w:t>
      </w:r>
      <w:r w:rsidR="00753EA2" w:rsidRPr="003E7F38">
        <w:rPr>
          <w:rFonts w:cstheme="minorHAnsi"/>
        </w:rPr>
        <w:t xml:space="preserve"> </w:t>
      </w:r>
      <w:r w:rsidR="002A11FF">
        <w:rPr>
          <w:rFonts w:cstheme="minorHAnsi"/>
        </w:rPr>
        <w:t>are</w:t>
      </w:r>
      <w:r w:rsidR="00753EA2" w:rsidRPr="003E7F38">
        <w:rPr>
          <w:rFonts w:cstheme="minorHAnsi"/>
        </w:rPr>
        <w:t xml:space="preserve"> material</w:t>
      </w:r>
      <w:r w:rsidR="00C7497B">
        <w:rPr>
          <w:rFonts w:cstheme="minorHAnsi"/>
        </w:rPr>
        <w:t xml:space="preserve">. </w:t>
      </w:r>
      <w:r w:rsidR="00F96AA0" w:rsidRPr="003E7F38">
        <w:rPr>
          <w:rFonts w:cstheme="minorHAnsi"/>
        </w:rPr>
        <w:t>This flexibility needs to come with</w:t>
      </w:r>
      <w:r w:rsidR="00BC68AB">
        <w:rPr>
          <w:rFonts w:cstheme="minorHAnsi"/>
        </w:rPr>
        <w:t xml:space="preserve"> a set of</w:t>
      </w:r>
      <w:r w:rsidR="00F96AA0" w:rsidRPr="003E7F38">
        <w:rPr>
          <w:rFonts w:cstheme="minorHAnsi"/>
        </w:rPr>
        <w:t xml:space="preserve"> </w:t>
      </w:r>
      <w:r w:rsidR="00D236AB">
        <w:rPr>
          <w:rFonts w:cstheme="minorHAnsi"/>
        </w:rPr>
        <w:t>high-level</w:t>
      </w:r>
      <w:r w:rsidR="002A11FF">
        <w:rPr>
          <w:rFonts w:cstheme="minorHAnsi"/>
        </w:rPr>
        <w:t xml:space="preserve"> </w:t>
      </w:r>
      <w:r w:rsidR="00F96AA0" w:rsidRPr="003E7F38">
        <w:rPr>
          <w:rFonts w:cstheme="minorHAnsi"/>
        </w:rPr>
        <w:t>criteria that can guide how Transpower exercises it</w:t>
      </w:r>
      <w:r w:rsidR="00BC68AB">
        <w:rPr>
          <w:rFonts w:cstheme="minorHAnsi"/>
        </w:rPr>
        <w:t>s discretion</w:t>
      </w:r>
      <w:r w:rsidR="00F96AA0" w:rsidRPr="003E7F38">
        <w:rPr>
          <w:rFonts w:cstheme="minorHAnsi"/>
        </w:rPr>
        <w:t>.</w:t>
      </w:r>
    </w:p>
    <w:p w14:paraId="539832D3" w14:textId="497707B8" w:rsidR="00DB28F6" w:rsidRDefault="00BA4C64" w:rsidP="009F480C">
      <w:pPr>
        <w:pStyle w:val="UnnumtextBodytext"/>
        <w:numPr>
          <w:ilvl w:val="1"/>
          <w:numId w:val="8"/>
        </w:numPr>
        <w:ind w:left="990" w:hanging="450"/>
        <w:rPr>
          <w:rFonts w:cstheme="minorHAnsi"/>
        </w:rPr>
      </w:pPr>
      <w:r w:rsidRPr="003E7F38">
        <w:rPr>
          <w:rFonts w:cstheme="minorHAnsi"/>
        </w:rPr>
        <w:lastRenderedPageBreak/>
        <w:t>While</w:t>
      </w:r>
      <w:r w:rsidR="00EF392B">
        <w:rPr>
          <w:rFonts w:cstheme="minorHAnsi"/>
        </w:rPr>
        <w:t xml:space="preserve"> the</w:t>
      </w:r>
      <w:r w:rsidRPr="003E7F38">
        <w:rPr>
          <w:rFonts w:cstheme="minorHAnsi"/>
        </w:rPr>
        <w:t xml:space="preserve"> ENA </w:t>
      </w:r>
      <w:r w:rsidR="00F96AA0" w:rsidRPr="003E7F38">
        <w:rPr>
          <w:rFonts w:cstheme="minorHAnsi"/>
        </w:rPr>
        <w:t>considers that</w:t>
      </w:r>
      <w:r w:rsidRPr="003E7F38">
        <w:rPr>
          <w:rFonts w:cstheme="minorHAnsi"/>
        </w:rPr>
        <w:t xml:space="preserve"> there are</w:t>
      </w:r>
      <w:r w:rsidR="002A11FF">
        <w:rPr>
          <w:rFonts w:cstheme="minorHAnsi"/>
        </w:rPr>
        <w:t xml:space="preserve"> (non-trivial)</w:t>
      </w:r>
      <w:r w:rsidRPr="003E7F38">
        <w:rPr>
          <w:rFonts w:cstheme="minorHAnsi"/>
        </w:rPr>
        <w:t xml:space="preserve"> undesirable aspects </w:t>
      </w:r>
      <w:r w:rsidR="002A11FF">
        <w:rPr>
          <w:rFonts w:cstheme="minorHAnsi"/>
        </w:rPr>
        <w:t>to</w:t>
      </w:r>
      <w:r w:rsidRPr="003E7F38">
        <w:rPr>
          <w:rFonts w:cstheme="minorHAnsi"/>
        </w:rPr>
        <w:t xml:space="preserve"> changing the TPM after substantial grid investment has been made to</w:t>
      </w:r>
      <w:r w:rsidR="00DB28F6" w:rsidRPr="003E7F38">
        <w:rPr>
          <w:rFonts w:cstheme="minorHAnsi"/>
        </w:rPr>
        <w:t xml:space="preserve"> the </w:t>
      </w:r>
      <w:r w:rsidRPr="003E7F38">
        <w:rPr>
          <w:rFonts w:cstheme="minorHAnsi"/>
        </w:rPr>
        <w:t xml:space="preserve">benefit certain parties, </w:t>
      </w:r>
      <w:r w:rsidR="000541BF">
        <w:rPr>
          <w:rFonts w:cstheme="minorHAnsi"/>
        </w:rPr>
        <w:t xml:space="preserve">we </w:t>
      </w:r>
      <w:r w:rsidR="002A11FF">
        <w:rPr>
          <w:rFonts w:cstheme="minorHAnsi"/>
        </w:rPr>
        <w:t>recommend</w:t>
      </w:r>
      <w:r w:rsidR="000541BF">
        <w:rPr>
          <w:rFonts w:cstheme="minorHAnsi"/>
        </w:rPr>
        <w:t xml:space="preserve"> that any change</w:t>
      </w:r>
      <w:r w:rsidR="002A11FF">
        <w:rPr>
          <w:rFonts w:cstheme="minorHAnsi"/>
        </w:rPr>
        <w:t xml:space="preserve"> to allocations</w:t>
      </w:r>
      <w:r w:rsidR="000541BF">
        <w:rPr>
          <w:rFonts w:cstheme="minorHAnsi"/>
        </w:rPr>
        <w:t xml:space="preserve"> must take place over an extended transition period to minimise</w:t>
      </w:r>
      <w:r w:rsidRPr="003E7F38">
        <w:rPr>
          <w:rFonts w:cstheme="minorHAnsi"/>
        </w:rPr>
        <w:t xml:space="preserve"> </w:t>
      </w:r>
      <w:r w:rsidR="003728D2">
        <w:rPr>
          <w:rFonts w:cstheme="minorHAnsi"/>
        </w:rPr>
        <w:t>issues</w:t>
      </w:r>
      <w:r w:rsidR="000541BF">
        <w:rPr>
          <w:rFonts w:cstheme="minorHAnsi"/>
        </w:rPr>
        <w:t xml:space="preserve"> that will </w:t>
      </w:r>
      <w:r w:rsidR="006732BC">
        <w:rPr>
          <w:rFonts w:cstheme="minorHAnsi"/>
        </w:rPr>
        <w:t>flow from the reallocation of Transpower’s costs</w:t>
      </w:r>
      <w:r w:rsidR="003728D2">
        <w:rPr>
          <w:rFonts w:cstheme="minorHAnsi"/>
        </w:rPr>
        <w:t>.</w:t>
      </w:r>
      <w:r w:rsidR="00EF392B">
        <w:rPr>
          <w:rFonts w:cstheme="minorHAnsi"/>
        </w:rPr>
        <w:t xml:space="preserve"> The extended period that we have in mind is materially longer than the period of the price cap in the TPM3 proposal.</w:t>
      </w:r>
    </w:p>
    <w:p w14:paraId="6617240D" w14:textId="1C3ABCEC" w:rsidR="00466A95" w:rsidRPr="009F480C" w:rsidRDefault="00466A95" w:rsidP="00B65B6D">
      <w:pPr>
        <w:pStyle w:val="UnnumtextBodytext"/>
        <w:numPr>
          <w:ilvl w:val="1"/>
          <w:numId w:val="8"/>
        </w:numPr>
        <w:ind w:left="990" w:hanging="450"/>
        <w:rPr>
          <w:rFonts w:cstheme="minorHAnsi"/>
        </w:rPr>
      </w:pPr>
      <w:r w:rsidRPr="003E7F38">
        <w:rPr>
          <w:rFonts w:cstheme="minorHAnsi"/>
        </w:rPr>
        <w:t>We are supportive of the Authority desire for Transpower to develop a TPM</w:t>
      </w:r>
      <w:r w:rsidR="00F87C7D">
        <w:rPr>
          <w:rFonts w:cstheme="minorHAnsi"/>
        </w:rPr>
        <w:t>3</w:t>
      </w:r>
      <w:r w:rsidRPr="003E7F38">
        <w:rPr>
          <w:rFonts w:cstheme="minorHAnsi"/>
        </w:rPr>
        <w:t xml:space="preserve"> that is</w:t>
      </w:r>
      <w:r w:rsidR="00F87C7D">
        <w:rPr>
          <w:rFonts w:cstheme="minorHAnsi"/>
        </w:rPr>
        <w:t xml:space="preserve"> efficient, equitable and</w:t>
      </w:r>
      <w:r w:rsidRPr="003E7F38">
        <w:rPr>
          <w:rFonts w:cstheme="minorHAnsi"/>
        </w:rPr>
        <w:t xml:space="preserve"> cost reflective</w:t>
      </w:r>
      <w:r w:rsidR="0082133B">
        <w:rPr>
          <w:rFonts w:cstheme="minorHAnsi"/>
        </w:rPr>
        <w:t>,</w:t>
      </w:r>
      <w:r w:rsidRPr="003E7F38">
        <w:rPr>
          <w:rFonts w:cstheme="minorHAnsi"/>
        </w:rPr>
        <w:t xml:space="preserve"> </w:t>
      </w:r>
      <w:r w:rsidR="00F87C7D">
        <w:rPr>
          <w:rFonts w:cstheme="minorHAnsi"/>
        </w:rPr>
        <w:t>which</w:t>
      </w:r>
      <w:r w:rsidR="003728D2">
        <w:rPr>
          <w:rFonts w:cstheme="minorHAnsi"/>
        </w:rPr>
        <w:t xml:space="preserve"> together will</w:t>
      </w:r>
      <w:r w:rsidR="00F87C7D">
        <w:rPr>
          <w:rFonts w:cstheme="minorHAnsi"/>
        </w:rPr>
        <w:t xml:space="preserve"> make it</w:t>
      </w:r>
      <w:r w:rsidRPr="003E7F38">
        <w:rPr>
          <w:rFonts w:cstheme="minorHAnsi"/>
        </w:rPr>
        <w:t xml:space="preserve"> more robust and </w:t>
      </w:r>
      <w:r w:rsidR="002A11FF">
        <w:rPr>
          <w:rFonts w:cstheme="minorHAnsi"/>
        </w:rPr>
        <w:t>enduring</w:t>
      </w:r>
      <w:r w:rsidRPr="003E7F38">
        <w:rPr>
          <w:rFonts w:cstheme="minorHAnsi"/>
        </w:rPr>
        <w:t>. The earlier versions of TPM change were</w:t>
      </w:r>
      <w:r w:rsidR="00F87C7D">
        <w:rPr>
          <w:rFonts w:cstheme="minorHAnsi"/>
        </w:rPr>
        <w:t xml:space="preserve"> quite</w:t>
      </w:r>
      <w:r w:rsidRPr="003E7F38">
        <w:rPr>
          <w:rFonts w:cstheme="minorHAnsi"/>
        </w:rPr>
        <w:t xml:space="preserve"> prescriptive </w:t>
      </w:r>
      <w:r w:rsidR="00F87C7D">
        <w:rPr>
          <w:rFonts w:cstheme="minorHAnsi"/>
        </w:rPr>
        <w:t>and targeted at specific</w:t>
      </w:r>
      <w:r w:rsidR="006732BC">
        <w:rPr>
          <w:rFonts w:cstheme="minorHAnsi"/>
        </w:rPr>
        <w:t xml:space="preserve"> </w:t>
      </w:r>
      <w:r w:rsidR="00F87C7D">
        <w:rPr>
          <w:rFonts w:cstheme="minorHAnsi"/>
        </w:rPr>
        <w:t>detailed problems</w:t>
      </w:r>
      <w:r w:rsidR="006732BC">
        <w:rPr>
          <w:rFonts w:cstheme="minorHAnsi"/>
        </w:rPr>
        <w:t xml:space="preserve"> that we and other stakeholders took issue with</w:t>
      </w:r>
      <w:r w:rsidR="00F87C7D">
        <w:rPr>
          <w:rFonts w:cstheme="minorHAnsi"/>
        </w:rPr>
        <w:t xml:space="preserve">. We encourage the Authority to give Transpower scope to develop and implement a TPM that </w:t>
      </w:r>
      <w:r w:rsidR="0093450E">
        <w:rPr>
          <w:rFonts w:cstheme="minorHAnsi"/>
        </w:rPr>
        <w:t xml:space="preserve">is principle based, is </w:t>
      </w:r>
      <w:r w:rsidR="00F87C7D">
        <w:rPr>
          <w:rFonts w:cstheme="minorHAnsi"/>
        </w:rPr>
        <w:t xml:space="preserve">largely free from controversy and </w:t>
      </w:r>
      <w:r w:rsidR="0093450E">
        <w:rPr>
          <w:rFonts w:cstheme="minorHAnsi"/>
        </w:rPr>
        <w:t>can be</w:t>
      </w:r>
      <w:r w:rsidR="00F87C7D">
        <w:rPr>
          <w:rFonts w:cstheme="minorHAnsi"/>
        </w:rPr>
        <w:t xml:space="preserve"> enduring.</w:t>
      </w:r>
    </w:p>
    <w:p w14:paraId="6DC92D82" w14:textId="77777777" w:rsidR="00466A95" w:rsidRPr="003E7F38" w:rsidRDefault="00466A95" w:rsidP="00E82447">
      <w:pPr>
        <w:pStyle w:val="UnnumtextBodytext"/>
        <w:rPr>
          <w:rFonts w:cstheme="minorHAnsi"/>
        </w:rPr>
      </w:pPr>
    </w:p>
    <w:p w14:paraId="1C1925EC" w14:textId="210CC3F9" w:rsidR="005E38EF" w:rsidRPr="003E7F38" w:rsidRDefault="00256E87" w:rsidP="007B3D52">
      <w:pPr>
        <w:pStyle w:val="1Heading"/>
        <w:ind w:left="450" w:hanging="450"/>
        <w:rPr>
          <w:rFonts w:asciiTheme="minorHAnsi" w:hAnsiTheme="minorHAnsi" w:cstheme="minorHAnsi"/>
        </w:rPr>
      </w:pPr>
      <w:bookmarkStart w:id="2" w:name="_Toc20839538"/>
      <w:r>
        <w:rPr>
          <w:rFonts w:asciiTheme="minorHAnsi" w:hAnsiTheme="minorHAnsi" w:cstheme="minorHAnsi"/>
        </w:rPr>
        <w:lastRenderedPageBreak/>
        <w:t>A</w:t>
      </w:r>
      <w:r w:rsidR="000A238C" w:rsidRPr="003E7F38">
        <w:rPr>
          <w:rFonts w:asciiTheme="minorHAnsi" w:hAnsiTheme="minorHAnsi" w:cstheme="minorHAnsi"/>
        </w:rPr>
        <w:t xml:space="preserve"> </w:t>
      </w:r>
      <w:r w:rsidR="004F3C15">
        <w:rPr>
          <w:rFonts w:asciiTheme="minorHAnsi" w:hAnsiTheme="minorHAnsi" w:cstheme="minorHAnsi"/>
        </w:rPr>
        <w:t xml:space="preserve">proposal to </w:t>
      </w:r>
      <w:r w:rsidR="005E38EF" w:rsidRPr="003E7F38">
        <w:rPr>
          <w:rFonts w:asciiTheme="minorHAnsi" w:hAnsiTheme="minorHAnsi" w:cstheme="minorHAnsi"/>
        </w:rPr>
        <w:t>change</w:t>
      </w:r>
      <w:r>
        <w:rPr>
          <w:rFonts w:asciiTheme="minorHAnsi" w:hAnsiTheme="minorHAnsi" w:cstheme="minorHAnsi"/>
        </w:rPr>
        <w:t xml:space="preserve"> </w:t>
      </w:r>
      <w:r w:rsidR="005E38EF" w:rsidRPr="003E7F38">
        <w:rPr>
          <w:rFonts w:asciiTheme="minorHAnsi" w:hAnsiTheme="minorHAnsi" w:cstheme="minorHAnsi"/>
        </w:rPr>
        <w:t>the TPM</w:t>
      </w:r>
      <w:bookmarkEnd w:id="2"/>
    </w:p>
    <w:p w14:paraId="0BD09ADD" w14:textId="13D66666" w:rsidR="005E38EF" w:rsidRPr="004F3C15" w:rsidRDefault="005E38EF" w:rsidP="005E38EF">
      <w:pPr>
        <w:pStyle w:val="UnnumtextBodytext"/>
        <w:numPr>
          <w:ilvl w:val="0"/>
          <w:numId w:val="8"/>
        </w:numPr>
        <w:ind w:left="450" w:hanging="450"/>
        <w:rPr>
          <w:rFonts w:cstheme="minorHAnsi"/>
        </w:rPr>
      </w:pPr>
      <w:r w:rsidRPr="004F3C15">
        <w:rPr>
          <w:rFonts w:cstheme="minorHAnsi"/>
        </w:rPr>
        <w:t>The Authori</w:t>
      </w:r>
      <w:r w:rsidR="00F560B4" w:rsidRPr="004F3C15">
        <w:rPr>
          <w:rFonts w:cstheme="minorHAnsi"/>
        </w:rPr>
        <w:t>ty has published</w:t>
      </w:r>
      <w:r w:rsidR="00002696">
        <w:rPr>
          <w:rFonts w:cstheme="minorHAnsi"/>
        </w:rPr>
        <w:t xml:space="preserve"> a</w:t>
      </w:r>
      <w:r w:rsidR="000A238C" w:rsidRPr="004F3C15">
        <w:rPr>
          <w:rFonts w:cstheme="minorHAnsi"/>
        </w:rPr>
        <w:t xml:space="preserve"> consultation</w:t>
      </w:r>
      <w:r w:rsidRPr="004F3C15">
        <w:rPr>
          <w:rFonts w:cstheme="minorHAnsi"/>
        </w:rPr>
        <w:t xml:space="preserve"> paper that proposes </w:t>
      </w:r>
      <w:r w:rsidR="00FF6AEE" w:rsidRPr="004F3C15">
        <w:rPr>
          <w:rFonts w:cstheme="minorHAnsi"/>
        </w:rPr>
        <w:t xml:space="preserve">changes to the </w:t>
      </w:r>
      <w:r w:rsidR="004F3C15" w:rsidRPr="004F3C15">
        <w:rPr>
          <w:rFonts w:cstheme="minorHAnsi"/>
        </w:rPr>
        <w:t>current TPM</w:t>
      </w:r>
      <w:r w:rsidR="00FF6AEE" w:rsidRPr="004F3C15">
        <w:rPr>
          <w:rFonts w:cstheme="minorHAnsi"/>
        </w:rPr>
        <w:t xml:space="preserve"> guidelines</w:t>
      </w:r>
      <w:r w:rsidR="004F3C15" w:rsidRPr="004F3C15">
        <w:rPr>
          <w:rFonts w:cstheme="minorHAnsi"/>
        </w:rPr>
        <w:t xml:space="preserve">. </w:t>
      </w:r>
    </w:p>
    <w:p w14:paraId="0F66C3FA" w14:textId="68B2D39C" w:rsidR="005C274B" w:rsidRDefault="004F3C15" w:rsidP="005E38EF">
      <w:pPr>
        <w:pStyle w:val="UnnumtextBodytext"/>
        <w:numPr>
          <w:ilvl w:val="0"/>
          <w:numId w:val="8"/>
        </w:numPr>
        <w:ind w:left="450" w:hanging="450"/>
        <w:rPr>
          <w:rFonts w:cstheme="minorHAnsi"/>
        </w:rPr>
      </w:pPr>
      <w:r>
        <w:rPr>
          <w:rFonts w:cstheme="minorHAnsi"/>
        </w:rPr>
        <w:t xml:space="preserve">In the same way as the 2017 proposal, </w:t>
      </w:r>
      <w:r w:rsidR="006D2D64">
        <w:rPr>
          <w:rFonts w:cstheme="minorHAnsi"/>
        </w:rPr>
        <w:t xml:space="preserve">this </w:t>
      </w:r>
      <w:r>
        <w:rPr>
          <w:rFonts w:cstheme="minorHAnsi"/>
        </w:rPr>
        <w:t>TPM3 sees t</w:t>
      </w:r>
      <w:r w:rsidR="005C274B" w:rsidRPr="003E7F38">
        <w:rPr>
          <w:rFonts w:cstheme="minorHAnsi"/>
        </w:rPr>
        <w:t xml:space="preserve">he Authority back off being </w:t>
      </w:r>
      <w:r w:rsidR="0025287D" w:rsidRPr="003E7F38">
        <w:rPr>
          <w:rFonts w:cstheme="minorHAnsi"/>
        </w:rPr>
        <w:t xml:space="preserve">very </w:t>
      </w:r>
      <w:r w:rsidR="005C274B" w:rsidRPr="003E7F38">
        <w:rPr>
          <w:rFonts w:cstheme="minorHAnsi"/>
        </w:rPr>
        <w:t>specific with</w:t>
      </w:r>
      <w:r w:rsidR="00D230E8" w:rsidRPr="003E7F38">
        <w:rPr>
          <w:rFonts w:cstheme="minorHAnsi"/>
        </w:rPr>
        <w:t xml:space="preserve"> much of the</w:t>
      </w:r>
      <w:r>
        <w:rPr>
          <w:rFonts w:cstheme="minorHAnsi"/>
        </w:rPr>
        <w:t xml:space="preserve"> detailed</w:t>
      </w:r>
      <w:r w:rsidR="00D230E8" w:rsidRPr="003E7F38">
        <w:rPr>
          <w:rFonts w:cstheme="minorHAnsi"/>
        </w:rPr>
        <w:t xml:space="preserve"> </w:t>
      </w:r>
      <w:r w:rsidR="004463D4" w:rsidRPr="003E7F38">
        <w:rPr>
          <w:rFonts w:cstheme="minorHAnsi"/>
        </w:rPr>
        <w:t>design</w:t>
      </w:r>
      <w:r w:rsidR="004463D4">
        <w:rPr>
          <w:rFonts w:cstheme="minorHAnsi"/>
        </w:rPr>
        <w:t xml:space="preserve"> but</w:t>
      </w:r>
      <w:r>
        <w:rPr>
          <w:rFonts w:cstheme="minorHAnsi"/>
        </w:rPr>
        <w:t xml:space="preserve"> is quite specific about </w:t>
      </w:r>
      <w:r w:rsidR="0001336E">
        <w:rPr>
          <w:rFonts w:cstheme="minorHAnsi"/>
        </w:rPr>
        <w:t>how the</w:t>
      </w:r>
      <w:r>
        <w:rPr>
          <w:rFonts w:cstheme="minorHAnsi"/>
        </w:rPr>
        <w:t xml:space="preserve"> allocation of Transpower’s costs</w:t>
      </w:r>
      <w:r w:rsidR="0001336E">
        <w:rPr>
          <w:rFonts w:cstheme="minorHAnsi"/>
        </w:rPr>
        <w:t xml:space="preserve"> should be structured</w:t>
      </w:r>
      <w:r>
        <w:rPr>
          <w:rFonts w:cstheme="minorHAnsi"/>
        </w:rPr>
        <w:t xml:space="preserve"> and the ‘stick</w:t>
      </w:r>
      <w:r w:rsidR="00B65B6D">
        <w:rPr>
          <w:rFonts w:cstheme="minorHAnsi"/>
        </w:rPr>
        <w:t>iness’</w:t>
      </w:r>
      <w:r>
        <w:rPr>
          <w:rFonts w:cstheme="minorHAnsi"/>
        </w:rPr>
        <w:t xml:space="preserve"> of the resulting charges. </w:t>
      </w:r>
      <w:r w:rsidR="00D230E8" w:rsidRPr="003E7F38">
        <w:rPr>
          <w:rFonts w:cstheme="minorHAnsi"/>
        </w:rPr>
        <w:t xml:space="preserve"> </w:t>
      </w:r>
      <w:r>
        <w:rPr>
          <w:rFonts w:cstheme="minorHAnsi"/>
        </w:rPr>
        <w:t xml:space="preserve"> </w:t>
      </w:r>
      <w:r w:rsidR="008C1CDA" w:rsidRPr="003E7F38">
        <w:rPr>
          <w:rFonts w:cstheme="minorHAnsi"/>
        </w:rPr>
        <w:t xml:space="preserve"> </w:t>
      </w:r>
      <w:r>
        <w:rPr>
          <w:rFonts w:cstheme="minorHAnsi"/>
        </w:rPr>
        <w:t>In principle t</w:t>
      </w:r>
      <w:r w:rsidR="008C1CDA" w:rsidRPr="003E7F38">
        <w:rPr>
          <w:rFonts w:cstheme="minorHAnsi"/>
        </w:rPr>
        <w:t>he ENA considers this</w:t>
      </w:r>
      <w:r w:rsidR="00007FE2" w:rsidRPr="003E7F38">
        <w:rPr>
          <w:rFonts w:cstheme="minorHAnsi"/>
        </w:rPr>
        <w:t xml:space="preserve"> </w:t>
      </w:r>
      <w:r>
        <w:rPr>
          <w:rFonts w:cstheme="minorHAnsi"/>
        </w:rPr>
        <w:t>could be a</w:t>
      </w:r>
      <w:r w:rsidR="00007FE2" w:rsidRPr="003E7F38">
        <w:rPr>
          <w:rFonts w:cstheme="minorHAnsi"/>
        </w:rPr>
        <w:t xml:space="preserve"> good thing, provided that Transpower is given the</w:t>
      </w:r>
      <w:r>
        <w:rPr>
          <w:rFonts w:cstheme="minorHAnsi"/>
        </w:rPr>
        <w:t xml:space="preserve"> </w:t>
      </w:r>
      <w:r w:rsidR="005F30A8">
        <w:rPr>
          <w:rFonts w:cstheme="minorHAnsi"/>
        </w:rPr>
        <w:t xml:space="preserve">time </w:t>
      </w:r>
      <w:r>
        <w:rPr>
          <w:rFonts w:cstheme="minorHAnsi"/>
        </w:rPr>
        <w:t>and</w:t>
      </w:r>
      <w:r w:rsidR="00007FE2" w:rsidRPr="003E7F38">
        <w:rPr>
          <w:rFonts w:cstheme="minorHAnsi"/>
        </w:rPr>
        <w:t xml:space="preserve"> discretion to evaluate the options and trade-offs that will emerge through the TPM development process.</w:t>
      </w:r>
      <w:r w:rsidR="0001336E">
        <w:rPr>
          <w:rFonts w:cstheme="minorHAnsi"/>
        </w:rPr>
        <w:t xml:space="preserve"> Despite saying this, </w:t>
      </w:r>
      <w:r w:rsidR="00A51E7D">
        <w:rPr>
          <w:rFonts w:cstheme="minorHAnsi"/>
        </w:rPr>
        <w:t>we</w:t>
      </w:r>
      <w:r w:rsidR="005F30A8">
        <w:rPr>
          <w:rFonts w:cstheme="minorHAnsi"/>
        </w:rPr>
        <w:t xml:space="preserve"> do hav</w:t>
      </w:r>
      <w:r w:rsidR="00FC1DD9">
        <w:rPr>
          <w:rFonts w:cstheme="minorHAnsi"/>
        </w:rPr>
        <w:t>e</w:t>
      </w:r>
      <w:r w:rsidR="005F30A8">
        <w:rPr>
          <w:rFonts w:cstheme="minorHAnsi"/>
        </w:rPr>
        <w:t xml:space="preserve"> concerns with the TPM3 proposal as follows.</w:t>
      </w:r>
    </w:p>
    <w:p w14:paraId="402B6E59" w14:textId="164E5815" w:rsidR="00476B3C" w:rsidRPr="003E7F38" w:rsidRDefault="00476B3C" w:rsidP="007B3D52">
      <w:pPr>
        <w:pStyle w:val="11Heading"/>
        <w:numPr>
          <w:ilvl w:val="1"/>
          <w:numId w:val="7"/>
        </w:numPr>
        <w:tabs>
          <w:tab w:val="clear" w:pos="851"/>
        </w:tabs>
        <w:ind w:left="540" w:hanging="540"/>
        <w:rPr>
          <w:rFonts w:asciiTheme="minorHAnsi" w:hAnsiTheme="minorHAnsi" w:cstheme="minorHAnsi"/>
        </w:rPr>
      </w:pPr>
      <w:bookmarkStart w:id="3" w:name="_Toc20839539"/>
      <w:r w:rsidRPr="003E7F38">
        <w:rPr>
          <w:rFonts w:asciiTheme="minorHAnsi" w:hAnsiTheme="minorHAnsi" w:cstheme="minorHAnsi"/>
        </w:rPr>
        <w:t>T</w:t>
      </w:r>
      <w:r w:rsidR="00A5294A">
        <w:rPr>
          <w:rFonts w:asciiTheme="minorHAnsi" w:hAnsiTheme="minorHAnsi" w:cstheme="minorHAnsi"/>
        </w:rPr>
        <w:t>ransmission pricing</w:t>
      </w:r>
      <w:r w:rsidRPr="003E7F38">
        <w:rPr>
          <w:rFonts w:asciiTheme="minorHAnsi" w:hAnsiTheme="minorHAnsi" w:cstheme="minorHAnsi"/>
        </w:rPr>
        <w:t xml:space="preserve"> problems</w:t>
      </w:r>
      <w:bookmarkEnd w:id="3"/>
    </w:p>
    <w:p w14:paraId="456C3E46" w14:textId="2C7413E1" w:rsidR="00570EAB" w:rsidRDefault="008D29FA" w:rsidP="007E09AA">
      <w:pPr>
        <w:pStyle w:val="UnnumtextBodytext"/>
        <w:numPr>
          <w:ilvl w:val="0"/>
          <w:numId w:val="8"/>
        </w:numPr>
        <w:ind w:left="450" w:hanging="450"/>
        <w:rPr>
          <w:rFonts w:cstheme="minorHAnsi"/>
        </w:rPr>
      </w:pPr>
      <w:r w:rsidRPr="00FF550D">
        <w:rPr>
          <w:rFonts w:cstheme="minorHAnsi"/>
        </w:rPr>
        <w:t xml:space="preserve">The </w:t>
      </w:r>
      <w:r w:rsidR="00FF550D" w:rsidRPr="00FF550D">
        <w:rPr>
          <w:rFonts w:cstheme="minorHAnsi"/>
        </w:rPr>
        <w:t xml:space="preserve">material </w:t>
      </w:r>
      <w:r w:rsidRPr="00FF550D">
        <w:rPr>
          <w:rFonts w:cstheme="minorHAnsi"/>
        </w:rPr>
        <w:t xml:space="preserve">reallocation of Transpower </w:t>
      </w:r>
      <w:r w:rsidR="00FF550D" w:rsidRPr="00FF550D">
        <w:rPr>
          <w:rFonts w:cstheme="minorHAnsi"/>
        </w:rPr>
        <w:t>costs</w:t>
      </w:r>
      <w:r w:rsidRPr="00FF550D">
        <w:rPr>
          <w:rFonts w:cstheme="minorHAnsi"/>
        </w:rPr>
        <w:t xml:space="preserve"> </w:t>
      </w:r>
      <w:r w:rsidR="00FC1DD9">
        <w:rPr>
          <w:rFonts w:cstheme="minorHAnsi"/>
        </w:rPr>
        <w:t>results in</w:t>
      </w:r>
      <w:r w:rsidRPr="00FF550D">
        <w:rPr>
          <w:rFonts w:cstheme="minorHAnsi"/>
        </w:rPr>
        <w:t xml:space="preserve"> consumers shouldering a</w:t>
      </w:r>
      <w:r w:rsidR="00FF550D" w:rsidRPr="00FF550D">
        <w:rPr>
          <w:rFonts w:cstheme="minorHAnsi"/>
        </w:rPr>
        <w:t>n even</w:t>
      </w:r>
      <w:r w:rsidRPr="00FF550D">
        <w:rPr>
          <w:rFonts w:cstheme="minorHAnsi"/>
        </w:rPr>
        <w:t xml:space="preserve"> larger share than </w:t>
      </w:r>
      <w:r w:rsidR="00FF550D" w:rsidRPr="00FF550D">
        <w:rPr>
          <w:rFonts w:cstheme="minorHAnsi"/>
        </w:rPr>
        <w:t>was proposed in the 2017 paper</w:t>
      </w:r>
      <w:r w:rsidRPr="00FF550D">
        <w:rPr>
          <w:rFonts w:cstheme="minorHAnsi"/>
        </w:rPr>
        <w:t xml:space="preserve">. </w:t>
      </w:r>
      <w:r w:rsidR="007E09AA" w:rsidRPr="00FF550D">
        <w:rPr>
          <w:rFonts w:cstheme="minorHAnsi"/>
        </w:rPr>
        <w:t>ENA</w:t>
      </w:r>
      <w:r w:rsidR="009E38F0">
        <w:rPr>
          <w:rFonts w:cstheme="minorHAnsi"/>
        </w:rPr>
        <w:t>’s detailed</w:t>
      </w:r>
      <w:r w:rsidR="007E09AA" w:rsidRPr="00FF550D">
        <w:rPr>
          <w:rFonts w:cstheme="minorHAnsi"/>
        </w:rPr>
        <w:t xml:space="preserve"> views regarding the Authority’s published perceptions of TPM problems were covered in pre</w:t>
      </w:r>
      <w:r w:rsidR="00FF550D" w:rsidRPr="00FF550D">
        <w:rPr>
          <w:rFonts w:cstheme="minorHAnsi"/>
        </w:rPr>
        <w:t xml:space="preserve"> 2017</w:t>
      </w:r>
      <w:r w:rsidR="007E09AA" w:rsidRPr="00FF550D">
        <w:rPr>
          <w:rFonts w:cstheme="minorHAnsi"/>
        </w:rPr>
        <w:t xml:space="preserve"> ENA submissions and will not be repeated.</w:t>
      </w:r>
      <w:r w:rsidR="001715BE">
        <w:rPr>
          <w:rFonts w:cstheme="minorHAnsi"/>
        </w:rPr>
        <w:t xml:space="preserve"> </w:t>
      </w:r>
      <w:r w:rsidR="009E38F0">
        <w:rPr>
          <w:rFonts w:cstheme="minorHAnsi"/>
        </w:rPr>
        <w:t>W</w:t>
      </w:r>
      <w:r w:rsidR="00A5294A">
        <w:rPr>
          <w:rFonts w:cstheme="minorHAnsi"/>
        </w:rPr>
        <w:t xml:space="preserve">e </w:t>
      </w:r>
      <w:r w:rsidR="009E38F0">
        <w:rPr>
          <w:rFonts w:cstheme="minorHAnsi"/>
        </w:rPr>
        <w:t xml:space="preserve">still </w:t>
      </w:r>
      <w:r w:rsidR="00A5294A">
        <w:rPr>
          <w:rFonts w:cstheme="minorHAnsi"/>
        </w:rPr>
        <w:t xml:space="preserve">question whether there are material problems with current cost allocations that need </w:t>
      </w:r>
      <w:r w:rsidR="0001336E">
        <w:rPr>
          <w:rFonts w:cstheme="minorHAnsi"/>
        </w:rPr>
        <w:t>a major rebuild of the TPM</w:t>
      </w:r>
      <w:r w:rsidR="00A5294A">
        <w:rPr>
          <w:rFonts w:cstheme="minorHAnsi"/>
        </w:rPr>
        <w:t>.</w:t>
      </w:r>
    </w:p>
    <w:p w14:paraId="5D351A8E" w14:textId="165F9020" w:rsidR="00476B3C" w:rsidRPr="003E7F38" w:rsidRDefault="00FC1DD9" w:rsidP="00476B3C">
      <w:pPr>
        <w:pStyle w:val="UnnumtextBodytext"/>
        <w:numPr>
          <w:ilvl w:val="0"/>
          <w:numId w:val="8"/>
        </w:numPr>
        <w:ind w:left="450" w:hanging="450"/>
        <w:rPr>
          <w:rFonts w:cstheme="minorHAnsi"/>
        </w:rPr>
      </w:pPr>
      <w:r>
        <w:rPr>
          <w:rFonts w:cstheme="minorHAnsi"/>
        </w:rPr>
        <w:t xml:space="preserve">We </w:t>
      </w:r>
      <w:r w:rsidR="00B65B6D">
        <w:rPr>
          <w:rFonts w:cstheme="minorHAnsi"/>
        </w:rPr>
        <w:t xml:space="preserve">retain </w:t>
      </w:r>
      <w:r>
        <w:rPr>
          <w:rFonts w:cstheme="minorHAnsi"/>
        </w:rPr>
        <w:t>our</w:t>
      </w:r>
      <w:r w:rsidR="00476B3C" w:rsidRPr="003E7F38">
        <w:rPr>
          <w:rFonts w:cstheme="minorHAnsi"/>
        </w:rPr>
        <w:t xml:space="preserve"> strong views on the need for transmission pricing to intersect well with distribution pricing</w:t>
      </w:r>
      <w:r w:rsidR="00B65B6D">
        <w:rPr>
          <w:rFonts w:cstheme="minorHAnsi"/>
        </w:rPr>
        <w:t>,</w:t>
      </w:r>
      <w:r w:rsidR="00476B3C" w:rsidRPr="003E7F38">
        <w:rPr>
          <w:rFonts w:cstheme="minorHAnsi"/>
        </w:rPr>
        <w:t xml:space="preserve"> given the work underway among the </w:t>
      </w:r>
      <w:r>
        <w:rPr>
          <w:rFonts w:cstheme="minorHAnsi"/>
        </w:rPr>
        <w:t xml:space="preserve">ENA </w:t>
      </w:r>
      <w:r w:rsidR="00476B3C" w:rsidRPr="003E7F38">
        <w:rPr>
          <w:rFonts w:cstheme="minorHAnsi"/>
        </w:rPr>
        <w:t xml:space="preserve">membership to improve the efficiency of distribution pricing. </w:t>
      </w:r>
      <w:r>
        <w:rPr>
          <w:rFonts w:cstheme="minorHAnsi"/>
        </w:rPr>
        <w:t>The ENA</w:t>
      </w:r>
      <w:r w:rsidR="00476B3C" w:rsidRPr="003E7F38">
        <w:rPr>
          <w:rFonts w:cstheme="minorHAnsi"/>
        </w:rPr>
        <w:t xml:space="preserve"> want</w:t>
      </w:r>
      <w:r>
        <w:rPr>
          <w:rFonts w:cstheme="minorHAnsi"/>
        </w:rPr>
        <w:t>s</w:t>
      </w:r>
      <w:r w:rsidR="00476B3C" w:rsidRPr="003E7F38">
        <w:rPr>
          <w:rFonts w:cstheme="minorHAnsi"/>
        </w:rPr>
        <w:t xml:space="preserve"> to avoid replacing problems</w:t>
      </w:r>
      <w:r w:rsidR="0001336E">
        <w:rPr>
          <w:rFonts w:cstheme="minorHAnsi"/>
        </w:rPr>
        <w:t xml:space="preserve"> that are perceived</w:t>
      </w:r>
      <w:r w:rsidR="00476B3C" w:rsidRPr="003E7F38">
        <w:rPr>
          <w:rFonts w:cstheme="minorHAnsi"/>
        </w:rPr>
        <w:t xml:space="preserve"> with the existing TPM</w:t>
      </w:r>
      <w:r w:rsidR="00517294">
        <w:rPr>
          <w:rFonts w:cstheme="minorHAnsi"/>
        </w:rPr>
        <w:t>,</w:t>
      </w:r>
      <w:r w:rsidR="00476B3C" w:rsidRPr="003E7F38">
        <w:rPr>
          <w:rFonts w:cstheme="minorHAnsi"/>
        </w:rPr>
        <w:t xml:space="preserve"> with real</w:t>
      </w:r>
      <w:r w:rsidR="00B65B6D">
        <w:rPr>
          <w:rFonts w:cstheme="minorHAnsi"/>
        </w:rPr>
        <w:t>-world</w:t>
      </w:r>
      <w:r w:rsidR="00476B3C" w:rsidRPr="003E7F38">
        <w:rPr>
          <w:rFonts w:cstheme="minorHAnsi"/>
        </w:rPr>
        <w:t xml:space="preserve"> problems to economic network pricing in the future. In this regard, </w:t>
      </w:r>
      <w:r w:rsidR="00A51E7D">
        <w:rPr>
          <w:rFonts w:cstheme="minorHAnsi"/>
        </w:rPr>
        <w:t>we</w:t>
      </w:r>
      <w:r w:rsidR="00476B3C" w:rsidRPr="003E7F38">
        <w:rPr>
          <w:rFonts w:cstheme="minorHAnsi"/>
        </w:rPr>
        <w:t xml:space="preserve"> draw the Authority’s attention to the following:</w:t>
      </w:r>
    </w:p>
    <w:p w14:paraId="5948ABB3" w14:textId="1F2D53A8" w:rsidR="00476B3C" w:rsidRPr="003E7F38" w:rsidRDefault="00476B3C" w:rsidP="009F480C">
      <w:pPr>
        <w:pStyle w:val="UnnumtextBodytext"/>
        <w:numPr>
          <w:ilvl w:val="1"/>
          <w:numId w:val="17"/>
        </w:numPr>
        <w:ind w:left="810"/>
        <w:rPr>
          <w:rFonts w:cstheme="minorHAnsi"/>
        </w:rPr>
      </w:pPr>
      <w:r w:rsidRPr="003E7F38">
        <w:rPr>
          <w:rFonts w:cstheme="minorHAnsi"/>
        </w:rPr>
        <w:t>A</w:t>
      </w:r>
      <w:r w:rsidR="009D0A29" w:rsidRPr="003E7F38">
        <w:rPr>
          <w:rFonts w:cstheme="minorHAnsi"/>
        </w:rPr>
        <w:t>t its core</w:t>
      </w:r>
      <w:r w:rsidR="008C1CDA" w:rsidRPr="003E7F38">
        <w:rPr>
          <w:rFonts w:cstheme="minorHAnsi"/>
        </w:rPr>
        <w:t>,</w:t>
      </w:r>
      <w:r w:rsidR="009D0A29" w:rsidRPr="003E7F38">
        <w:rPr>
          <w:rFonts w:cstheme="minorHAnsi"/>
        </w:rPr>
        <w:t xml:space="preserve"> TPM</w:t>
      </w:r>
      <w:r w:rsidR="00A5294A">
        <w:rPr>
          <w:rFonts w:cstheme="minorHAnsi"/>
        </w:rPr>
        <w:t>3</w:t>
      </w:r>
      <w:r w:rsidR="009D0A29" w:rsidRPr="003E7F38">
        <w:rPr>
          <w:rFonts w:cstheme="minorHAnsi"/>
        </w:rPr>
        <w:t xml:space="preserve"> is </w:t>
      </w:r>
      <w:r w:rsidR="00A5294A">
        <w:rPr>
          <w:rFonts w:cstheme="minorHAnsi"/>
        </w:rPr>
        <w:t xml:space="preserve">partly </w:t>
      </w:r>
      <w:r w:rsidR="009D0A29" w:rsidRPr="003E7F38">
        <w:rPr>
          <w:rFonts w:cstheme="minorHAnsi"/>
        </w:rPr>
        <w:t xml:space="preserve">principle based as it attempts to attribute </w:t>
      </w:r>
      <w:r w:rsidR="00A5294A">
        <w:rPr>
          <w:rFonts w:cstheme="minorHAnsi"/>
        </w:rPr>
        <w:t xml:space="preserve">some </w:t>
      </w:r>
      <w:r w:rsidR="009D0A29" w:rsidRPr="003E7F38">
        <w:rPr>
          <w:rFonts w:cstheme="minorHAnsi"/>
        </w:rPr>
        <w:t>grid costs to those who benefit from its use. It is unclear whether the final design of TPM</w:t>
      </w:r>
      <w:r w:rsidR="00B65B6D">
        <w:rPr>
          <w:rFonts w:cstheme="minorHAnsi"/>
        </w:rPr>
        <w:t>3</w:t>
      </w:r>
      <w:r w:rsidR="009D0A29" w:rsidRPr="003E7F38">
        <w:rPr>
          <w:rFonts w:cstheme="minorHAnsi"/>
        </w:rPr>
        <w:t xml:space="preserve"> will be </w:t>
      </w:r>
      <w:r w:rsidRPr="003E7F38">
        <w:rPr>
          <w:rFonts w:cstheme="minorHAnsi"/>
        </w:rPr>
        <w:t>compatible with</w:t>
      </w:r>
      <w:r w:rsidR="009D0A29" w:rsidRPr="003E7F38">
        <w:rPr>
          <w:rFonts w:cstheme="minorHAnsi"/>
        </w:rPr>
        <w:t xml:space="preserve"> efficient distribution pricing because each has different </w:t>
      </w:r>
      <w:r w:rsidR="00FC1DD9">
        <w:rPr>
          <w:rFonts w:cstheme="minorHAnsi"/>
        </w:rPr>
        <w:t>focus</w:t>
      </w:r>
      <w:r w:rsidR="009D0A29" w:rsidRPr="003E7F38">
        <w:rPr>
          <w:rFonts w:cstheme="minorHAnsi"/>
        </w:rPr>
        <w:t xml:space="preserve"> – </w:t>
      </w:r>
      <w:r w:rsidR="00853985" w:rsidRPr="003E7F38">
        <w:rPr>
          <w:rFonts w:cstheme="minorHAnsi"/>
        </w:rPr>
        <w:t>TPM</w:t>
      </w:r>
      <w:r w:rsidR="00A5294A">
        <w:rPr>
          <w:rFonts w:cstheme="minorHAnsi"/>
        </w:rPr>
        <w:t>3</w:t>
      </w:r>
      <w:r w:rsidR="009D0A29" w:rsidRPr="003E7F38">
        <w:rPr>
          <w:rFonts w:cstheme="minorHAnsi"/>
        </w:rPr>
        <w:t xml:space="preserve"> </w:t>
      </w:r>
      <w:r w:rsidR="00FC1DD9">
        <w:rPr>
          <w:rFonts w:cstheme="minorHAnsi"/>
        </w:rPr>
        <w:t xml:space="preserve">is </w:t>
      </w:r>
      <w:r w:rsidR="00586E96" w:rsidRPr="003E7F38">
        <w:rPr>
          <w:rFonts w:cstheme="minorHAnsi"/>
        </w:rPr>
        <w:t>targeted at</w:t>
      </w:r>
      <w:r w:rsidR="009D0A29" w:rsidRPr="003E7F38">
        <w:rPr>
          <w:rFonts w:cstheme="minorHAnsi"/>
        </w:rPr>
        <w:t xml:space="preserve"> unavoidable allocation of grid costs </w:t>
      </w:r>
      <w:r w:rsidR="00683BCB" w:rsidRPr="003E7F38">
        <w:rPr>
          <w:rFonts w:cstheme="minorHAnsi"/>
        </w:rPr>
        <w:t>whereas</w:t>
      </w:r>
      <w:r w:rsidR="009D0A29" w:rsidRPr="003E7F38">
        <w:rPr>
          <w:rFonts w:cstheme="minorHAnsi"/>
        </w:rPr>
        <w:t xml:space="preserve"> distribution pricing</w:t>
      </w:r>
      <w:r w:rsidR="00E94E1F" w:rsidRPr="003E7F38">
        <w:rPr>
          <w:rFonts w:cstheme="minorHAnsi"/>
        </w:rPr>
        <w:t xml:space="preserve"> reform</w:t>
      </w:r>
      <w:r w:rsidR="009D0A29" w:rsidRPr="003E7F38">
        <w:rPr>
          <w:rFonts w:cstheme="minorHAnsi"/>
        </w:rPr>
        <w:t xml:space="preserve"> is </w:t>
      </w:r>
      <w:r w:rsidR="00683BCB" w:rsidRPr="003E7F38">
        <w:rPr>
          <w:rFonts w:cstheme="minorHAnsi"/>
        </w:rPr>
        <w:t>focussed on supporting efficient</w:t>
      </w:r>
      <w:r w:rsidR="009D0A29" w:rsidRPr="003E7F38">
        <w:rPr>
          <w:rFonts w:cstheme="minorHAnsi"/>
        </w:rPr>
        <w:t xml:space="preserve"> consume</w:t>
      </w:r>
      <w:r w:rsidR="00B90955" w:rsidRPr="003E7F38">
        <w:rPr>
          <w:rFonts w:cstheme="minorHAnsi"/>
        </w:rPr>
        <w:t>r</w:t>
      </w:r>
      <w:r w:rsidR="009D0A29" w:rsidRPr="003E7F38">
        <w:rPr>
          <w:rFonts w:cstheme="minorHAnsi"/>
        </w:rPr>
        <w:t xml:space="preserve"> choice</w:t>
      </w:r>
      <w:r w:rsidR="0078778B">
        <w:rPr>
          <w:rFonts w:cstheme="minorHAnsi"/>
        </w:rPr>
        <w:t>s</w:t>
      </w:r>
      <w:r w:rsidR="009D0A29" w:rsidRPr="003E7F38">
        <w:rPr>
          <w:rFonts w:cstheme="minorHAnsi"/>
        </w:rPr>
        <w:t xml:space="preserve"> </w:t>
      </w:r>
      <w:r w:rsidR="0078778B">
        <w:rPr>
          <w:rFonts w:cstheme="minorHAnsi"/>
        </w:rPr>
        <w:t>with</w:t>
      </w:r>
      <w:r w:rsidR="00E94E1F" w:rsidRPr="003E7F38">
        <w:rPr>
          <w:rFonts w:cstheme="minorHAnsi"/>
        </w:rPr>
        <w:t xml:space="preserve"> </w:t>
      </w:r>
      <w:r w:rsidR="009D0A29" w:rsidRPr="003E7F38">
        <w:rPr>
          <w:rFonts w:cstheme="minorHAnsi"/>
        </w:rPr>
        <w:t>distribution services</w:t>
      </w:r>
      <w:r w:rsidRPr="003E7F38">
        <w:rPr>
          <w:rFonts w:cstheme="minorHAnsi"/>
        </w:rPr>
        <w:t>.</w:t>
      </w:r>
      <w:r w:rsidR="003C687D" w:rsidRPr="003E7F38">
        <w:rPr>
          <w:rFonts w:cstheme="minorHAnsi"/>
        </w:rPr>
        <w:t xml:space="preserve"> We are unsure how the Authority reconciles the concept of cost-reflective, pricing providing consumers with choices about the services they receive, when at the same time such cost-reflective</w:t>
      </w:r>
      <w:r w:rsidR="00FC1DD9">
        <w:rPr>
          <w:rFonts w:cstheme="minorHAnsi"/>
        </w:rPr>
        <w:t xml:space="preserve"> </w:t>
      </w:r>
      <w:r w:rsidR="003C687D" w:rsidRPr="003E7F38">
        <w:rPr>
          <w:rFonts w:cstheme="minorHAnsi"/>
        </w:rPr>
        <w:t xml:space="preserve">for transmission is designed to eliminate choice for deemed transmission customers about the services they receive.  </w:t>
      </w:r>
    </w:p>
    <w:p w14:paraId="59852964" w14:textId="289662F8" w:rsidR="0078778B" w:rsidRDefault="00A51E7D" w:rsidP="009F480C">
      <w:pPr>
        <w:pStyle w:val="UnnumtextBodytext"/>
        <w:numPr>
          <w:ilvl w:val="1"/>
          <w:numId w:val="17"/>
        </w:numPr>
        <w:ind w:left="810"/>
        <w:rPr>
          <w:rFonts w:cstheme="minorHAnsi"/>
        </w:rPr>
      </w:pPr>
      <w:r>
        <w:rPr>
          <w:rFonts w:cstheme="minorHAnsi"/>
        </w:rPr>
        <w:t xml:space="preserve">The </w:t>
      </w:r>
      <w:r w:rsidR="0078778B">
        <w:rPr>
          <w:rFonts w:cstheme="minorHAnsi"/>
        </w:rPr>
        <w:t>ENA agree</w:t>
      </w:r>
      <w:r w:rsidR="006C7322">
        <w:rPr>
          <w:rFonts w:cstheme="minorHAnsi"/>
        </w:rPr>
        <w:t>s</w:t>
      </w:r>
      <w:r w:rsidR="0078778B">
        <w:rPr>
          <w:rFonts w:cstheme="minorHAnsi"/>
        </w:rPr>
        <w:t xml:space="preserve"> in part with the Authority that the current peak demand charge is too sharp and needs to be recalibrated to soften its impacts that see some parties trying to avoid it. Rather than eliminating </w:t>
      </w:r>
      <w:r w:rsidR="006847EE">
        <w:rPr>
          <w:rFonts w:cstheme="minorHAnsi"/>
        </w:rPr>
        <w:t>the peak demand charge,</w:t>
      </w:r>
      <w:r w:rsidR="0078778B">
        <w:rPr>
          <w:rFonts w:cstheme="minorHAnsi"/>
        </w:rPr>
        <w:t xml:space="preserve"> as TPM3 proposes, we consider that there are low risk ways of minimising the potential for avoidance of transmission charges.</w:t>
      </w:r>
      <w:r w:rsidR="001E7C4E" w:rsidRPr="003E7F38">
        <w:rPr>
          <w:rFonts w:cstheme="minorHAnsi"/>
        </w:rPr>
        <w:t xml:space="preserve"> </w:t>
      </w:r>
    </w:p>
    <w:p w14:paraId="3FBFBF70" w14:textId="28EF1479" w:rsidR="0078778B" w:rsidRDefault="006847EE" w:rsidP="009F480C">
      <w:pPr>
        <w:pStyle w:val="UnnumtextBodytext"/>
        <w:numPr>
          <w:ilvl w:val="1"/>
          <w:numId w:val="17"/>
        </w:numPr>
        <w:ind w:left="810"/>
        <w:rPr>
          <w:rFonts w:cstheme="minorHAnsi"/>
        </w:rPr>
      </w:pPr>
      <w:r>
        <w:rPr>
          <w:rFonts w:cstheme="minorHAnsi"/>
        </w:rPr>
        <w:t xml:space="preserve">We also agree in part with the Authority that the current treatment of HVDC costs could lead to inefficient investment decisions by generators.  We do not, however agree that the implementation of a benefits-based re-allocation of these costs will solve this issue. </w:t>
      </w:r>
    </w:p>
    <w:p w14:paraId="79D15A17" w14:textId="264ACAD4" w:rsidR="0078778B" w:rsidRDefault="00A51E7D" w:rsidP="009F480C">
      <w:pPr>
        <w:pStyle w:val="UnnumtextBodytext"/>
        <w:numPr>
          <w:ilvl w:val="1"/>
          <w:numId w:val="17"/>
        </w:numPr>
        <w:ind w:left="810"/>
        <w:rPr>
          <w:rFonts w:cstheme="minorHAnsi"/>
        </w:rPr>
      </w:pPr>
      <w:r>
        <w:rPr>
          <w:rFonts w:cstheme="minorHAnsi"/>
        </w:rPr>
        <w:t>We</w:t>
      </w:r>
      <w:r w:rsidR="002125BB">
        <w:rPr>
          <w:rFonts w:cstheme="minorHAnsi"/>
        </w:rPr>
        <w:t xml:space="preserve"> still struggle to agree with the Authority view that TPM3 will improve incentives on customers/consumers to scrutinise investments in the transmission grid.</w:t>
      </w:r>
      <w:r w:rsidR="00FC1DD9">
        <w:rPr>
          <w:rFonts w:cstheme="minorHAnsi"/>
        </w:rPr>
        <w:t xml:space="preserve"> However</w:t>
      </w:r>
      <w:r w:rsidR="00B84649">
        <w:rPr>
          <w:rFonts w:cstheme="minorHAnsi"/>
        </w:rPr>
        <w:t xml:space="preserve">, we are </w:t>
      </w:r>
      <w:r w:rsidR="009E38F0">
        <w:rPr>
          <w:rFonts w:cstheme="minorHAnsi"/>
        </w:rPr>
        <w:t xml:space="preserve">also </w:t>
      </w:r>
      <w:r w:rsidR="00B84649">
        <w:rPr>
          <w:rFonts w:cstheme="minorHAnsi"/>
        </w:rPr>
        <w:t>of the view that if customers are made aware that they</w:t>
      </w:r>
      <w:r w:rsidR="007907F4">
        <w:rPr>
          <w:rFonts w:cstheme="minorHAnsi"/>
        </w:rPr>
        <w:t xml:space="preserve"> have the option to scrutinise grid investments and if they choose not to</w:t>
      </w:r>
      <w:r w:rsidR="006C7322">
        <w:rPr>
          <w:rFonts w:cstheme="minorHAnsi"/>
        </w:rPr>
        <w:t>,</w:t>
      </w:r>
      <w:r w:rsidR="007907F4">
        <w:rPr>
          <w:rFonts w:cstheme="minorHAnsi"/>
        </w:rPr>
        <w:t xml:space="preserve"> then they bear the costs</w:t>
      </w:r>
      <w:r w:rsidR="0082133B">
        <w:rPr>
          <w:rFonts w:cstheme="minorHAnsi"/>
        </w:rPr>
        <w:t xml:space="preserve"> of that choice</w:t>
      </w:r>
      <w:r w:rsidR="007907F4">
        <w:rPr>
          <w:rFonts w:cstheme="minorHAnsi"/>
        </w:rPr>
        <w:t>.</w:t>
      </w:r>
    </w:p>
    <w:p w14:paraId="480D923A" w14:textId="460FB8B4" w:rsidR="001D4D3E" w:rsidRDefault="001D4D3E" w:rsidP="001D4D3E">
      <w:pPr>
        <w:pStyle w:val="UnnumtextBodytext"/>
        <w:numPr>
          <w:ilvl w:val="0"/>
          <w:numId w:val="8"/>
        </w:numPr>
        <w:ind w:left="450" w:hanging="450"/>
        <w:rPr>
          <w:rFonts w:cstheme="minorHAnsi"/>
        </w:rPr>
      </w:pPr>
      <w:r>
        <w:rPr>
          <w:rFonts w:cstheme="minorHAnsi"/>
        </w:rPr>
        <w:lastRenderedPageBreak/>
        <w:t xml:space="preserve">In summary </w:t>
      </w:r>
      <w:r w:rsidR="006C7322">
        <w:rPr>
          <w:rFonts w:cstheme="minorHAnsi"/>
        </w:rPr>
        <w:t>we</w:t>
      </w:r>
      <w:r>
        <w:rPr>
          <w:rFonts w:cstheme="minorHAnsi"/>
        </w:rPr>
        <w:t xml:space="preserve"> question the materiality of the problems that the Authority perceives result from the current TPM. A</w:t>
      </w:r>
      <w:r w:rsidR="00ED4D9E">
        <w:rPr>
          <w:rFonts w:cstheme="minorHAnsi"/>
        </w:rPr>
        <w:t>s</w:t>
      </w:r>
      <w:r>
        <w:rPr>
          <w:rFonts w:cstheme="minorHAnsi"/>
        </w:rPr>
        <w:t xml:space="preserve"> noted</w:t>
      </w:r>
      <w:r w:rsidR="00ED4D9E">
        <w:rPr>
          <w:rFonts w:cstheme="minorHAnsi"/>
        </w:rPr>
        <w:t>,</w:t>
      </w:r>
      <w:r>
        <w:rPr>
          <w:rFonts w:cstheme="minorHAnsi"/>
        </w:rPr>
        <w:t xml:space="preserve"> we agree in part with two </w:t>
      </w:r>
      <w:r w:rsidR="003C5EFA">
        <w:rPr>
          <w:rFonts w:cstheme="minorHAnsi"/>
        </w:rPr>
        <w:t>issues,</w:t>
      </w:r>
      <w:r>
        <w:rPr>
          <w:rFonts w:cstheme="minorHAnsi"/>
        </w:rPr>
        <w:t xml:space="preserve"> but we feel that the Authority board should take a </w:t>
      </w:r>
      <w:r w:rsidR="00ED4D9E">
        <w:rPr>
          <w:rFonts w:cstheme="minorHAnsi"/>
        </w:rPr>
        <w:t>less prescriptive</w:t>
      </w:r>
      <w:r>
        <w:rPr>
          <w:rFonts w:cstheme="minorHAnsi"/>
        </w:rPr>
        <w:t xml:space="preserve"> approach to these issues and consider</w:t>
      </w:r>
      <w:r w:rsidR="006C7322">
        <w:rPr>
          <w:rFonts w:cstheme="minorHAnsi"/>
        </w:rPr>
        <w:t xml:space="preserve"> using something like</w:t>
      </w:r>
      <w:r>
        <w:rPr>
          <w:rFonts w:cstheme="minorHAnsi"/>
        </w:rPr>
        <w:t xml:space="preserve"> the TPM reform </w:t>
      </w:r>
      <w:r w:rsidR="00ED4D9E">
        <w:rPr>
          <w:rFonts w:cstheme="minorHAnsi"/>
        </w:rPr>
        <w:t>guidelines that</w:t>
      </w:r>
      <w:r>
        <w:rPr>
          <w:rFonts w:cstheme="minorHAnsi"/>
        </w:rPr>
        <w:t xml:space="preserve"> we suggest in section 2.</w:t>
      </w:r>
    </w:p>
    <w:p w14:paraId="06FAFC3B" w14:textId="1FD1019D" w:rsidR="005E38EF" w:rsidRPr="003E7F38" w:rsidRDefault="002B6244" w:rsidP="007B3D52">
      <w:pPr>
        <w:pStyle w:val="11Heading"/>
        <w:numPr>
          <w:ilvl w:val="1"/>
          <w:numId w:val="7"/>
        </w:numPr>
        <w:ind w:hanging="780"/>
        <w:rPr>
          <w:rFonts w:asciiTheme="minorHAnsi" w:hAnsiTheme="minorHAnsi" w:cstheme="minorHAnsi"/>
        </w:rPr>
      </w:pPr>
      <w:bookmarkStart w:id="4" w:name="_Toc448504227"/>
      <w:bookmarkStart w:id="5" w:name="_Toc20839540"/>
      <w:bookmarkEnd w:id="4"/>
      <w:r>
        <w:rPr>
          <w:rFonts w:asciiTheme="minorHAnsi" w:hAnsiTheme="minorHAnsi" w:cstheme="minorHAnsi"/>
        </w:rPr>
        <w:t>Low fixed charge regulations inhibit pass-through</w:t>
      </w:r>
      <w:bookmarkEnd w:id="5"/>
    </w:p>
    <w:p w14:paraId="7286F30B" w14:textId="1BAF1716" w:rsidR="001C47F8" w:rsidRPr="00D45590" w:rsidRDefault="00D45590" w:rsidP="004A170C">
      <w:pPr>
        <w:pStyle w:val="UnnumtextBodytext"/>
        <w:numPr>
          <w:ilvl w:val="0"/>
          <w:numId w:val="8"/>
        </w:numPr>
        <w:ind w:left="450" w:hanging="450"/>
        <w:rPr>
          <w:rFonts w:cstheme="minorHAnsi"/>
          <w:szCs w:val="20"/>
        </w:rPr>
      </w:pPr>
      <w:r w:rsidRPr="00F448F7">
        <w:rPr>
          <w:rFonts w:cstheme="minorHAnsi"/>
        </w:rPr>
        <w:t xml:space="preserve">In the past </w:t>
      </w:r>
      <w:r w:rsidR="00ED4D9E">
        <w:rPr>
          <w:rFonts w:cstheme="minorHAnsi"/>
        </w:rPr>
        <w:t xml:space="preserve">the </w:t>
      </w:r>
      <w:r w:rsidR="00BA6A6B" w:rsidRPr="00F448F7">
        <w:rPr>
          <w:rFonts w:cstheme="minorHAnsi"/>
        </w:rPr>
        <w:t>ENA</w:t>
      </w:r>
      <w:r w:rsidRPr="00F448F7">
        <w:rPr>
          <w:rFonts w:cstheme="minorHAnsi"/>
        </w:rPr>
        <w:t xml:space="preserve"> </w:t>
      </w:r>
      <w:r w:rsidR="00ED4D9E">
        <w:rPr>
          <w:rFonts w:cstheme="minorHAnsi"/>
        </w:rPr>
        <w:t>was</w:t>
      </w:r>
      <w:r w:rsidR="001C47F8" w:rsidRPr="00F448F7">
        <w:rPr>
          <w:rFonts w:cstheme="minorHAnsi"/>
        </w:rPr>
        <w:t xml:space="preserve"> generally dissatisfied with the</w:t>
      </w:r>
      <w:r w:rsidR="001C47F8" w:rsidRPr="003E7F38">
        <w:rPr>
          <w:rFonts w:cstheme="minorHAnsi"/>
        </w:rPr>
        <w:t xml:space="preserve"> approach to </w:t>
      </w:r>
      <w:r w:rsidR="00CE0458" w:rsidRPr="003E7F38">
        <w:rPr>
          <w:rFonts w:cstheme="minorHAnsi"/>
        </w:rPr>
        <w:t xml:space="preserve">TPM </w:t>
      </w:r>
      <w:r>
        <w:rPr>
          <w:rFonts w:cstheme="minorHAnsi"/>
        </w:rPr>
        <w:t>reform</w:t>
      </w:r>
      <w:r w:rsidR="001C47F8" w:rsidRPr="003E7F38">
        <w:rPr>
          <w:rFonts w:cstheme="minorHAnsi"/>
        </w:rPr>
        <w:t xml:space="preserve"> and</w:t>
      </w:r>
      <w:r w:rsidR="00CE0458" w:rsidRPr="003E7F38">
        <w:rPr>
          <w:rFonts w:cstheme="minorHAnsi"/>
        </w:rPr>
        <w:t xml:space="preserve"> </w:t>
      </w:r>
      <w:r>
        <w:rPr>
          <w:rFonts w:cstheme="minorHAnsi"/>
        </w:rPr>
        <w:t xml:space="preserve">with </w:t>
      </w:r>
      <w:r w:rsidR="00CE0458" w:rsidRPr="003E7F38">
        <w:rPr>
          <w:rFonts w:cstheme="minorHAnsi"/>
        </w:rPr>
        <w:t>the</w:t>
      </w:r>
      <w:r w:rsidR="001C47F8" w:rsidRPr="003E7F38">
        <w:rPr>
          <w:rFonts w:cstheme="minorHAnsi"/>
        </w:rPr>
        <w:t xml:space="preserve"> detail </w:t>
      </w:r>
      <w:r w:rsidR="00ED4D9E">
        <w:rPr>
          <w:rFonts w:cstheme="minorHAnsi"/>
        </w:rPr>
        <w:t>contained in</w:t>
      </w:r>
      <w:r w:rsidR="001C47F8" w:rsidRPr="003E7F38">
        <w:rPr>
          <w:rFonts w:cstheme="minorHAnsi"/>
        </w:rPr>
        <w:t xml:space="preserve"> the 201</w:t>
      </w:r>
      <w:r>
        <w:rPr>
          <w:rFonts w:cstheme="minorHAnsi"/>
        </w:rPr>
        <w:t>4 and 2016</w:t>
      </w:r>
      <w:r w:rsidR="001C47F8" w:rsidRPr="003E7F38">
        <w:rPr>
          <w:rFonts w:cstheme="minorHAnsi"/>
        </w:rPr>
        <w:t xml:space="preserve"> TPM2 issues paper</w:t>
      </w:r>
      <w:r>
        <w:rPr>
          <w:rFonts w:cstheme="minorHAnsi"/>
        </w:rPr>
        <w:t>s. I</w:t>
      </w:r>
      <w:r w:rsidR="00E94E1F" w:rsidRPr="003E7F38">
        <w:rPr>
          <w:rFonts w:cstheme="minorHAnsi"/>
        </w:rPr>
        <w:t>n</w:t>
      </w:r>
      <w:r>
        <w:rPr>
          <w:rFonts w:cstheme="minorHAnsi"/>
        </w:rPr>
        <w:t xml:space="preserve"> </w:t>
      </w:r>
      <w:r w:rsidR="00E94E1F" w:rsidRPr="003E7F38">
        <w:rPr>
          <w:rFonts w:cstheme="minorHAnsi"/>
        </w:rPr>
        <w:t xml:space="preserve">previous submissions </w:t>
      </w:r>
      <w:r w:rsidR="00A51E7D">
        <w:rPr>
          <w:rFonts w:cstheme="minorHAnsi"/>
        </w:rPr>
        <w:t>the ENA</w:t>
      </w:r>
      <w:r w:rsidR="001C47F8" w:rsidRPr="003E7F38">
        <w:rPr>
          <w:rFonts w:cstheme="minorHAnsi"/>
        </w:rPr>
        <w:t xml:space="preserve"> </w:t>
      </w:r>
      <w:r w:rsidR="00CE0458" w:rsidRPr="003E7F38">
        <w:rPr>
          <w:rFonts w:cstheme="minorHAnsi"/>
        </w:rPr>
        <w:t>encouraged</w:t>
      </w:r>
      <w:r w:rsidR="00E02E2D" w:rsidRPr="003E7F38">
        <w:rPr>
          <w:rFonts w:cstheme="minorHAnsi"/>
        </w:rPr>
        <w:t xml:space="preserve"> the Authority to</w:t>
      </w:r>
      <w:r w:rsidR="00853985" w:rsidRPr="003E7F38">
        <w:rPr>
          <w:rFonts w:cstheme="minorHAnsi"/>
        </w:rPr>
        <w:t xml:space="preserve"> rethink their </w:t>
      </w:r>
      <w:r w:rsidR="00CE0458" w:rsidRPr="003E7F38">
        <w:rPr>
          <w:rFonts w:cstheme="minorHAnsi"/>
        </w:rPr>
        <w:t xml:space="preserve">approach to make </w:t>
      </w:r>
      <w:r w:rsidR="00853985" w:rsidRPr="003E7F38">
        <w:rPr>
          <w:rFonts w:cstheme="minorHAnsi"/>
        </w:rPr>
        <w:t>TPM</w:t>
      </w:r>
      <w:r>
        <w:rPr>
          <w:rFonts w:cstheme="minorHAnsi"/>
        </w:rPr>
        <w:t>3</w:t>
      </w:r>
      <w:r w:rsidR="00CE0458" w:rsidRPr="003E7F38">
        <w:rPr>
          <w:rFonts w:cstheme="minorHAnsi"/>
        </w:rPr>
        <w:t xml:space="preserve"> robust and durable</w:t>
      </w:r>
      <w:r w:rsidR="00E02E2D" w:rsidRPr="003E7F38">
        <w:rPr>
          <w:rFonts w:cstheme="minorHAnsi"/>
        </w:rPr>
        <w:t>.</w:t>
      </w:r>
    </w:p>
    <w:p w14:paraId="5035D124" w14:textId="1E53E788" w:rsidR="00ED4D9E" w:rsidRPr="00ED4D9E" w:rsidRDefault="00D45590" w:rsidP="004A170C">
      <w:pPr>
        <w:pStyle w:val="UnnumtextBodytext"/>
        <w:numPr>
          <w:ilvl w:val="0"/>
          <w:numId w:val="8"/>
        </w:numPr>
        <w:ind w:left="450" w:hanging="450"/>
        <w:rPr>
          <w:rFonts w:cstheme="minorHAnsi"/>
          <w:szCs w:val="20"/>
        </w:rPr>
      </w:pPr>
      <w:r>
        <w:rPr>
          <w:rFonts w:cstheme="minorHAnsi"/>
        </w:rPr>
        <w:t xml:space="preserve">We don’t see that TPM3 </w:t>
      </w:r>
      <w:r w:rsidR="00657AE7">
        <w:rPr>
          <w:rFonts w:cstheme="minorHAnsi"/>
        </w:rPr>
        <w:t>will be robust and enduring</w:t>
      </w:r>
      <w:r>
        <w:rPr>
          <w:rFonts w:cstheme="minorHAnsi"/>
        </w:rPr>
        <w:t xml:space="preserve">. </w:t>
      </w:r>
      <w:r w:rsidR="003C5EFA">
        <w:rPr>
          <w:rFonts w:cstheme="minorHAnsi"/>
        </w:rPr>
        <w:t xml:space="preserve">At </w:t>
      </w:r>
      <w:r>
        <w:rPr>
          <w:rFonts w:cstheme="minorHAnsi"/>
        </w:rPr>
        <w:t xml:space="preserve">its core </w:t>
      </w:r>
      <w:r w:rsidR="003C5EFA">
        <w:rPr>
          <w:rFonts w:cstheme="minorHAnsi"/>
        </w:rPr>
        <w:t xml:space="preserve">TPM3 </w:t>
      </w:r>
      <w:r>
        <w:rPr>
          <w:rFonts w:cstheme="minorHAnsi"/>
        </w:rPr>
        <w:t>is a re-allocation of Transpower costs among it directly connected customers – what happens</w:t>
      </w:r>
      <w:r w:rsidR="009E38F0">
        <w:rPr>
          <w:rFonts w:cstheme="minorHAnsi"/>
        </w:rPr>
        <w:t xml:space="preserve"> to them</w:t>
      </w:r>
      <w:r>
        <w:rPr>
          <w:rFonts w:cstheme="minorHAnsi"/>
        </w:rPr>
        <w:t xml:space="preserve"> beyond EDBs is assumed away</w:t>
      </w:r>
      <w:r w:rsidR="00A25C76">
        <w:rPr>
          <w:rFonts w:cstheme="minorHAnsi"/>
        </w:rPr>
        <w:t xml:space="preserve"> as a separate process</w:t>
      </w:r>
      <w:r w:rsidR="009E38F0">
        <w:rPr>
          <w:rFonts w:cstheme="minorHAnsi"/>
        </w:rPr>
        <w:t xml:space="preserve"> and the impacts of the change</w:t>
      </w:r>
      <w:r w:rsidR="0082133B">
        <w:rPr>
          <w:rFonts w:cstheme="minorHAnsi"/>
        </w:rPr>
        <w:t>s</w:t>
      </w:r>
      <w:r w:rsidR="009E38F0">
        <w:rPr>
          <w:rFonts w:cstheme="minorHAnsi"/>
        </w:rPr>
        <w:t xml:space="preserve"> are ignored</w:t>
      </w:r>
      <w:r>
        <w:rPr>
          <w:rFonts w:cstheme="minorHAnsi"/>
        </w:rPr>
        <w:t xml:space="preserve">. Other than the rate at which the re-allocation </w:t>
      </w:r>
      <w:r w:rsidR="00657AE7">
        <w:rPr>
          <w:rFonts w:cstheme="minorHAnsi"/>
        </w:rPr>
        <w:t>transitions</w:t>
      </w:r>
      <w:r>
        <w:rPr>
          <w:rFonts w:cstheme="minorHAnsi"/>
        </w:rPr>
        <w:t xml:space="preserve"> over time</w:t>
      </w:r>
      <w:r w:rsidR="00A25C76">
        <w:rPr>
          <w:rFonts w:cstheme="minorHAnsi"/>
        </w:rPr>
        <w:t xml:space="preserve"> (the capping mechanism)</w:t>
      </w:r>
      <w:r>
        <w:rPr>
          <w:rFonts w:cstheme="minorHAnsi"/>
        </w:rPr>
        <w:t xml:space="preserve">, there is </w:t>
      </w:r>
      <w:r w:rsidR="00CC24EA">
        <w:rPr>
          <w:rFonts w:cstheme="minorHAnsi"/>
        </w:rPr>
        <w:t xml:space="preserve">no real-world </w:t>
      </w:r>
      <w:r>
        <w:rPr>
          <w:rFonts w:cstheme="minorHAnsi"/>
        </w:rPr>
        <w:t>recognition of how the changes</w:t>
      </w:r>
      <w:r w:rsidR="00A04197">
        <w:rPr>
          <w:rFonts w:cstheme="minorHAnsi"/>
        </w:rPr>
        <w:t xml:space="preserve"> to the allocation of costs</w:t>
      </w:r>
      <w:r>
        <w:rPr>
          <w:rFonts w:cstheme="minorHAnsi"/>
        </w:rPr>
        <w:t xml:space="preserve"> will be reflected in EDB pricing, how retailers will handle EDB pricing and what if anything consumers will see of </w:t>
      </w:r>
      <w:r w:rsidR="00A04197">
        <w:rPr>
          <w:rFonts w:cstheme="minorHAnsi"/>
        </w:rPr>
        <w:t xml:space="preserve">TPM </w:t>
      </w:r>
      <w:r>
        <w:rPr>
          <w:rFonts w:cstheme="minorHAnsi"/>
        </w:rPr>
        <w:t>reform.</w:t>
      </w:r>
      <w:r w:rsidR="00CC24EA">
        <w:rPr>
          <w:rFonts w:cstheme="minorHAnsi"/>
        </w:rPr>
        <w:t xml:space="preserve">  </w:t>
      </w:r>
    </w:p>
    <w:p w14:paraId="07758751" w14:textId="75D70BA5" w:rsidR="00657AE7" w:rsidRPr="00657AE7" w:rsidRDefault="00CC24EA" w:rsidP="004A170C">
      <w:pPr>
        <w:pStyle w:val="UnnumtextBodytext"/>
        <w:numPr>
          <w:ilvl w:val="0"/>
          <w:numId w:val="8"/>
        </w:numPr>
        <w:ind w:left="450" w:hanging="450"/>
        <w:rPr>
          <w:rFonts w:cstheme="minorHAnsi"/>
          <w:szCs w:val="20"/>
        </w:rPr>
      </w:pPr>
      <w:r>
        <w:rPr>
          <w:rFonts w:cstheme="minorHAnsi"/>
        </w:rPr>
        <w:t>The key assumption is that</w:t>
      </w:r>
      <w:r w:rsidR="00657AE7">
        <w:rPr>
          <w:rFonts w:cstheme="minorHAnsi"/>
        </w:rPr>
        <w:t>, early on,</w:t>
      </w:r>
      <w:r>
        <w:rPr>
          <w:rFonts w:cstheme="minorHAnsi"/>
        </w:rPr>
        <w:t xml:space="preserve"> marginal prices faced by consumers will decline substantially due to the movement from RCPD to a fixed allocation. </w:t>
      </w:r>
      <w:r w:rsidR="009E38F0">
        <w:rPr>
          <w:rFonts w:cstheme="minorHAnsi"/>
        </w:rPr>
        <w:t>Consumption will increase as a result of this change.</w:t>
      </w:r>
      <w:r>
        <w:rPr>
          <w:rFonts w:cstheme="minorHAnsi"/>
        </w:rPr>
        <w:t xml:space="preserve"> This is an extremely unlikely outcome.  EDBs are significantly constrained in the way in which they can set variable network prices, particularly for residential consumers due to the Low Fixed Charge Regulations. </w:t>
      </w:r>
    </w:p>
    <w:p w14:paraId="1B8E2410" w14:textId="619414C5" w:rsidR="00D45590" w:rsidRPr="007317F2" w:rsidRDefault="00CC24EA" w:rsidP="004A170C">
      <w:pPr>
        <w:pStyle w:val="UnnumtextBodytext"/>
        <w:numPr>
          <w:ilvl w:val="0"/>
          <w:numId w:val="8"/>
        </w:numPr>
        <w:ind w:left="450" w:hanging="450"/>
        <w:rPr>
          <w:rFonts w:cstheme="minorHAnsi"/>
          <w:szCs w:val="20"/>
        </w:rPr>
      </w:pPr>
      <w:r>
        <w:rPr>
          <w:rFonts w:cstheme="minorHAnsi"/>
        </w:rPr>
        <w:t>It is impossible to set the marginal peak signal at the effective RCPD rate, and conversely, if the residual charge becomes fixed, EDBs will be unable (under Government policy) to purely recover transmission charges through fixed distribution charges</w:t>
      </w:r>
      <w:r w:rsidR="00BC24DF">
        <w:rPr>
          <w:rFonts w:cstheme="minorHAnsi"/>
        </w:rPr>
        <w:t xml:space="preserve"> to residential customers</w:t>
      </w:r>
      <w:r>
        <w:rPr>
          <w:rFonts w:cstheme="minorHAnsi"/>
        </w:rPr>
        <w:t xml:space="preserve">.  ENA submits that a movement from RCPD to a more fixed charge is likely to have far more </w:t>
      </w:r>
      <w:r w:rsidR="00852BFB">
        <w:rPr>
          <w:rFonts w:cstheme="minorHAnsi"/>
        </w:rPr>
        <w:t>negligible impact on marginal distribution prices than has been modelled</w:t>
      </w:r>
      <w:r w:rsidR="009E38F0">
        <w:rPr>
          <w:rFonts w:cstheme="minorHAnsi"/>
        </w:rPr>
        <w:t xml:space="preserve"> in the TPM3 proposal</w:t>
      </w:r>
      <w:r w:rsidR="00852BFB">
        <w:rPr>
          <w:rFonts w:cstheme="minorHAnsi"/>
        </w:rPr>
        <w:t xml:space="preserve">. </w:t>
      </w:r>
      <w:r>
        <w:rPr>
          <w:rFonts w:cstheme="minorHAnsi"/>
        </w:rPr>
        <w:t xml:space="preserve">  </w:t>
      </w:r>
    </w:p>
    <w:p w14:paraId="527DC70F" w14:textId="6B8D7920" w:rsidR="00F039D0" w:rsidRPr="003E7F38" w:rsidRDefault="00256E87" w:rsidP="007B3D52">
      <w:pPr>
        <w:pStyle w:val="11Heading"/>
        <w:ind w:hanging="780"/>
        <w:rPr>
          <w:rFonts w:asciiTheme="minorHAnsi" w:hAnsiTheme="minorHAnsi" w:cstheme="minorHAnsi"/>
        </w:rPr>
      </w:pPr>
      <w:bookmarkStart w:id="6" w:name="_Toc20839541"/>
      <w:r>
        <w:rPr>
          <w:rFonts w:asciiTheme="minorHAnsi" w:hAnsiTheme="minorHAnsi" w:cstheme="minorHAnsi"/>
        </w:rPr>
        <w:t xml:space="preserve">TPM </w:t>
      </w:r>
      <w:r w:rsidR="007317F2">
        <w:rPr>
          <w:rFonts w:asciiTheme="minorHAnsi" w:hAnsiTheme="minorHAnsi" w:cstheme="minorHAnsi"/>
        </w:rPr>
        <w:t>components</w:t>
      </w:r>
      <w:bookmarkEnd w:id="6"/>
    </w:p>
    <w:p w14:paraId="6E66FEA2" w14:textId="41653C37" w:rsidR="007317F2" w:rsidRDefault="007317F2" w:rsidP="00F039D0">
      <w:pPr>
        <w:pStyle w:val="UnnumtextBodytext"/>
        <w:rPr>
          <w:rFonts w:cstheme="minorHAnsi"/>
          <w:highlight w:val="yellow"/>
        </w:rPr>
      </w:pPr>
      <w:r>
        <w:rPr>
          <w:rStyle w:val="Heading6Char"/>
          <w:rFonts w:asciiTheme="minorHAnsi" w:hAnsiTheme="minorHAnsi" w:cstheme="minorHAnsi"/>
          <w:color w:val="00B0F0"/>
          <w:sz w:val="24"/>
        </w:rPr>
        <w:t>Connection charge</w:t>
      </w:r>
    </w:p>
    <w:p w14:paraId="6390EA52" w14:textId="41C19509" w:rsidR="007317F2" w:rsidRDefault="007317F2" w:rsidP="007317F2">
      <w:pPr>
        <w:pStyle w:val="UnnumtextBodytext"/>
        <w:numPr>
          <w:ilvl w:val="0"/>
          <w:numId w:val="8"/>
        </w:numPr>
        <w:ind w:left="450" w:hanging="450"/>
        <w:rPr>
          <w:rFonts w:cstheme="minorHAnsi"/>
        </w:rPr>
      </w:pPr>
      <w:r>
        <w:rPr>
          <w:rFonts w:cstheme="minorHAnsi"/>
        </w:rPr>
        <w:t xml:space="preserve">No comment </w:t>
      </w:r>
      <w:proofErr w:type="gramStart"/>
      <w:r>
        <w:rPr>
          <w:rFonts w:cstheme="minorHAnsi"/>
        </w:rPr>
        <w:t>at this time</w:t>
      </w:r>
      <w:proofErr w:type="gramEnd"/>
      <w:r w:rsidR="004A7BE5">
        <w:rPr>
          <w:rFonts w:cstheme="minorHAnsi"/>
        </w:rPr>
        <w:t>.</w:t>
      </w:r>
    </w:p>
    <w:p w14:paraId="598E0871" w14:textId="60141A23" w:rsidR="007317F2" w:rsidRDefault="007317F2" w:rsidP="007317F2">
      <w:pPr>
        <w:pStyle w:val="UnnumtextBodytext"/>
        <w:rPr>
          <w:rFonts w:cstheme="minorHAnsi"/>
          <w:highlight w:val="yellow"/>
        </w:rPr>
      </w:pPr>
      <w:r>
        <w:rPr>
          <w:rStyle w:val="Heading6Char"/>
          <w:rFonts w:asciiTheme="minorHAnsi" w:hAnsiTheme="minorHAnsi" w:cstheme="minorHAnsi"/>
          <w:color w:val="00B0F0"/>
          <w:sz w:val="24"/>
        </w:rPr>
        <w:t>Benefit based charge</w:t>
      </w:r>
    </w:p>
    <w:p w14:paraId="539A69D3" w14:textId="44CED421" w:rsidR="00657AE7" w:rsidRDefault="00657AE7" w:rsidP="007317F2">
      <w:pPr>
        <w:pStyle w:val="UnnumtextBodytext"/>
        <w:numPr>
          <w:ilvl w:val="0"/>
          <w:numId w:val="8"/>
        </w:numPr>
        <w:ind w:left="450" w:hanging="450"/>
        <w:rPr>
          <w:rFonts w:cstheme="minorHAnsi"/>
        </w:rPr>
      </w:pPr>
      <w:r>
        <w:rPr>
          <w:rFonts w:cstheme="minorHAnsi"/>
        </w:rPr>
        <w:t>Because the ENA has a variety of views amongst its members regarding benefits-based charges, EDBs will make their own submissions on</w:t>
      </w:r>
      <w:r w:rsidR="00F87C0D">
        <w:rPr>
          <w:rFonts w:cstheme="minorHAnsi"/>
        </w:rPr>
        <w:t xml:space="preserve"> this component of</w:t>
      </w:r>
      <w:r>
        <w:rPr>
          <w:rFonts w:cstheme="minorHAnsi"/>
        </w:rPr>
        <w:t xml:space="preserve"> the proposal.</w:t>
      </w:r>
      <w:r w:rsidR="003778DA">
        <w:rPr>
          <w:rFonts w:cstheme="minorHAnsi"/>
        </w:rPr>
        <w:t xml:space="preserve"> </w:t>
      </w:r>
      <w:r w:rsidR="00BE4AF3">
        <w:rPr>
          <w:rFonts w:cstheme="minorHAnsi"/>
        </w:rPr>
        <w:t>We</w:t>
      </w:r>
      <w:r>
        <w:rPr>
          <w:rFonts w:cstheme="minorHAnsi"/>
        </w:rPr>
        <w:t xml:space="preserve"> would however provide some </w:t>
      </w:r>
      <w:r w:rsidR="00700F02">
        <w:rPr>
          <w:rFonts w:cstheme="minorHAnsi"/>
        </w:rPr>
        <w:t xml:space="preserve">general </w:t>
      </w:r>
      <w:r>
        <w:rPr>
          <w:rFonts w:cstheme="minorHAnsi"/>
        </w:rPr>
        <w:t>commentary on the proposal</w:t>
      </w:r>
      <w:r w:rsidR="00700F02">
        <w:rPr>
          <w:rFonts w:cstheme="minorHAnsi"/>
        </w:rPr>
        <w:t xml:space="preserve"> that may be useful</w:t>
      </w:r>
      <w:r>
        <w:rPr>
          <w:rFonts w:cstheme="minorHAnsi"/>
        </w:rPr>
        <w:t xml:space="preserve">. </w:t>
      </w:r>
    </w:p>
    <w:p w14:paraId="5107EFCB" w14:textId="31E2AA34" w:rsidR="003778DA" w:rsidRDefault="002F04CF" w:rsidP="007317F2">
      <w:pPr>
        <w:pStyle w:val="UnnumtextBodytext"/>
        <w:numPr>
          <w:ilvl w:val="0"/>
          <w:numId w:val="8"/>
        </w:numPr>
        <w:ind w:left="450" w:hanging="450"/>
        <w:rPr>
          <w:rFonts w:cstheme="minorHAnsi"/>
        </w:rPr>
      </w:pPr>
      <w:r>
        <w:rPr>
          <w:rFonts w:cstheme="minorHAnsi"/>
        </w:rPr>
        <w:t>We</w:t>
      </w:r>
      <w:r w:rsidR="00BE4AF3">
        <w:rPr>
          <w:rFonts w:cstheme="minorHAnsi"/>
        </w:rPr>
        <w:t xml:space="preserve"> note that some </w:t>
      </w:r>
      <w:r w:rsidR="009E38F0">
        <w:rPr>
          <w:rFonts w:cstheme="minorHAnsi"/>
        </w:rPr>
        <w:t xml:space="preserve">transmission </w:t>
      </w:r>
      <w:r w:rsidR="00BE4AF3">
        <w:rPr>
          <w:rFonts w:cstheme="minorHAnsi"/>
        </w:rPr>
        <w:t>assets</w:t>
      </w:r>
      <w:r>
        <w:rPr>
          <w:rFonts w:cstheme="minorHAnsi"/>
        </w:rPr>
        <w:t xml:space="preserve"> (</w:t>
      </w:r>
      <w:proofErr w:type="spellStart"/>
      <w:r>
        <w:rPr>
          <w:rFonts w:cstheme="minorHAnsi"/>
        </w:rPr>
        <w:t>NAaN</w:t>
      </w:r>
      <w:proofErr w:type="spellEnd"/>
      <w:r>
        <w:rPr>
          <w:rFonts w:cstheme="minorHAnsi"/>
        </w:rPr>
        <w:t xml:space="preserve"> is an example)</w:t>
      </w:r>
      <w:r w:rsidR="00BE4AF3">
        <w:rPr>
          <w:rFonts w:cstheme="minorHAnsi"/>
        </w:rPr>
        <w:t xml:space="preserve"> that had positive benefits under TPM2 in 2016, are assessed as having nil benefits under TPM3 (but may have positive benefits at some stage in the future). </w:t>
      </w:r>
      <w:r>
        <w:rPr>
          <w:rFonts w:cstheme="minorHAnsi"/>
        </w:rPr>
        <w:t xml:space="preserve">This suggests to us that </w:t>
      </w:r>
      <w:r w:rsidR="009E38F0">
        <w:rPr>
          <w:rFonts w:cstheme="minorHAnsi"/>
        </w:rPr>
        <w:t xml:space="preserve">if </w:t>
      </w:r>
      <w:proofErr w:type="spellStart"/>
      <w:r>
        <w:rPr>
          <w:rFonts w:cstheme="minorHAnsi"/>
        </w:rPr>
        <w:t>NAaN</w:t>
      </w:r>
      <w:proofErr w:type="spellEnd"/>
      <w:r>
        <w:rPr>
          <w:rFonts w:cstheme="minorHAnsi"/>
        </w:rPr>
        <w:t xml:space="preserve"> </w:t>
      </w:r>
      <w:r w:rsidR="009E38F0">
        <w:rPr>
          <w:rFonts w:cstheme="minorHAnsi"/>
        </w:rPr>
        <w:t>was</w:t>
      </w:r>
      <w:r>
        <w:rPr>
          <w:rFonts w:cstheme="minorHAnsi"/>
        </w:rPr>
        <w:t xml:space="preserve"> decommissioned consumers would be no worse off, which is </w:t>
      </w:r>
      <w:r w:rsidR="009E38F0">
        <w:rPr>
          <w:rFonts w:cstheme="minorHAnsi"/>
        </w:rPr>
        <w:t xml:space="preserve">of course </w:t>
      </w:r>
      <w:r>
        <w:rPr>
          <w:rFonts w:cstheme="minorHAnsi"/>
        </w:rPr>
        <w:t>nonsense</w:t>
      </w:r>
      <w:r w:rsidR="009E38F0">
        <w:rPr>
          <w:rFonts w:cstheme="minorHAnsi"/>
        </w:rPr>
        <w:t xml:space="preserve"> simply</w:t>
      </w:r>
      <w:r>
        <w:rPr>
          <w:rFonts w:cstheme="minorHAnsi"/>
        </w:rPr>
        <w:t xml:space="preserve"> because </w:t>
      </w:r>
      <w:proofErr w:type="spellStart"/>
      <w:r>
        <w:rPr>
          <w:rFonts w:cstheme="minorHAnsi"/>
        </w:rPr>
        <w:t>NAaN</w:t>
      </w:r>
      <w:proofErr w:type="spellEnd"/>
      <w:r>
        <w:rPr>
          <w:rFonts w:cstheme="minorHAnsi"/>
        </w:rPr>
        <w:t xml:space="preserve"> provides reliability benefits to the upper North Island</w:t>
      </w:r>
      <w:r w:rsidR="009E38F0">
        <w:rPr>
          <w:rFonts w:cstheme="minorHAnsi"/>
        </w:rPr>
        <w:t xml:space="preserve"> which are not accounted for in the TPM3 proposal</w:t>
      </w:r>
      <w:r>
        <w:rPr>
          <w:rFonts w:cstheme="minorHAnsi"/>
        </w:rPr>
        <w:t>. The</w:t>
      </w:r>
      <w:r w:rsidR="00A425BB">
        <w:rPr>
          <w:rFonts w:cstheme="minorHAnsi"/>
        </w:rPr>
        <w:t xml:space="preserve"> big weakness with the</w:t>
      </w:r>
      <w:r>
        <w:rPr>
          <w:rFonts w:cstheme="minorHAnsi"/>
        </w:rPr>
        <w:t xml:space="preserve"> </w:t>
      </w:r>
      <w:proofErr w:type="spellStart"/>
      <w:r>
        <w:rPr>
          <w:rFonts w:cstheme="minorHAnsi"/>
        </w:rPr>
        <w:t>vSPD</w:t>
      </w:r>
      <w:proofErr w:type="spellEnd"/>
      <w:r>
        <w:rPr>
          <w:rFonts w:cstheme="minorHAnsi"/>
        </w:rPr>
        <w:t xml:space="preserve"> methodology that underpins the benefits-based component in the proposal</w:t>
      </w:r>
      <w:r w:rsidR="009E38F0">
        <w:rPr>
          <w:rFonts w:cstheme="minorHAnsi"/>
        </w:rPr>
        <w:t xml:space="preserve"> </w:t>
      </w:r>
      <w:r w:rsidR="00A425BB">
        <w:rPr>
          <w:rFonts w:cstheme="minorHAnsi"/>
        </w:rPr>
        <w:t xml:space="preserve">is that it </w:t>
      </w:r>
      <w:r w:rsidR="009E38F0">
        <w:rPr>
          <w:rFonts w:cstheme="minorHAnsi"/>
        </w:rPr>
        <w:t>misses these benefits</w:t>
      </w:r>
      <w:r>
        <w:rPr>
          <w:rFonts w:cstheme="minorHAnsi"/>
        </w:rPr>
        <w:t xml:space="preserve">. This problem with the </w:t>
      </w:r>
      <w:proofErr w:type="spellStart"/>
      <w:r>
        <w:rPr>
          <w:rFonts w:cstheme="minorHAnsi"/>
        </w:rPr>
        <w:t>vSPD</w:t>
      </w:r>
      <w:proofErr w:type="spellEnd"/>
      <w:r>
        <w:rPr>
          <w:rFonts w:cstheme="minorHAnsi"/>
        </w:rPr>
        <w:t xml:space="preserve"> </w:t>
      </w:r>
      <w:r>
        <w:rPr>
          <w:rFonts w:cstheme="minorHAnsi"/>
        </w:rPr>
        <w:lastRenderedPageBreak/>
        <w:t xml:space="preserve">approach will </w:t>
      </w:r>
      <w:r w:rsidR="009E38F0">
        <w:rPr>
          <w:rFonts w:cstheme="minorHAnsi"/>
        </w:rPr>
        <w:t xml:space="preserve">also </w:t>
      </w:r>
      <w:r>
        <w:rPr>
          <w:rFonts w:cstheme="minorHAnsi"/>
        </w:rPr>
        <w:t>impact all seven of the assets that are subject of the benefits-based methodology and, if Transpower is required to use the same approach for future investments, to those future assets</w:t>
      </w:r>
      <w:r w:rsidR="009E38F0">
        <w:rPr>
          <w:rFonts w:cstheme="minorHAnsi"/>
        </w:rPr>
        <w:t xml:space="preserve"> as well</w:t>
      </w:r>
      <w:r>
        <w:rPr>
          <w:rFonts w:cstheme="minorHAnsi"/>
        </w:rPr>
        <w:t xml:space="preserve">.  </w:t>
      </w:r>
      <w:r w:rsidR="003778DA">
        <w:rPr>
          <w:rFonts w:cstheme="minorHAnsi"/>
        </w:rPr>
        <w:t>Because of this</w:t>
      </w:r>
      <w:r w:rsidR="0082133B">
        <w:rPr>
          <w:rFonts w:cstheme="minorHAnsi"/>
        </w:rPr>
        <w:t xml:space="preserve"> material practical issue,</w:t>
      </w:r>
      <w:r w:rsidR="003778DA">
        <w:rPr>
          <w:rFonts w:cstheme="minorHAnsi"/>
        </w:rPr>
        <w:t xml:space="preserve"> we consider that</w:t>
      </w:r>
      <w:r w:rsidR="00BE4AF3">
        <w:rPr>
          <w:rFonts w:cstheme="minorHAnsi"/>
        </w:rPr>
        <w:t xml:space="preserve"> the Authority should review the inclusion of</w:t>
      </w:r>
      <w:r w:rsidR="003778DA">
        <w:rPr>
          <w:rFonts w:cstheme="minorHAnsi"/>
        </w:rPr>
        <w:t xml:space="preserve"> benefits</w:t>
      </w:r>
      <w:r w:rsidR="00BE4AF3">
        <w:rPr>
          <w:rFonts w:cstheme="minorHAnsi"/>
        </w:rPr>
        <w:t>-</w:t>
      </w:r>
      <w:r w:rsidR="003778DA">
        <w:rPr>
          <w:rFonts w:cstheme="minorHAnsi"/>
        </w:rPr>
        <w:t xml:space="preserve">based charges for historical assets </w:t>
      </w:r>
      <w:r w:rsidR="00BE4AF3">
        <w:rPr>
          <w:rFonts w:cstheme="minorHAnsi"/>
        </w:rPr>
        <w:t xml:space="preserve">in TPM3. </w:t>
      </w:r>
    </w:p>
    <w:p w14:paraId="074E76BD" w14:textId="2A81127B" w:rsidR="007317F2" w:rsidRPr="00EB6DE0" w:rsidRDefault="00B51A77" w:rsidP="00EB6DE0">
      <w:pPr>
        <w:pStyle w:val="UnnumtextBodytext"/>
        <w:numPr>
          <w:ilvl w:val="0"/>
          <w:numId w:val="8"/>
        </w:numPr>
        <w:ind w:left="450" w:hanging="450"/>
        <w:rPr>
          <w:rFonts w:cstheme="minorHAnsi"/>
        </w:rPr>
      </w:pPr>
      <w:r>
        <w:rPr>
          <w:rFonts w:cstheme="minorHAnsi"/>
        </w:rPr>
        <w:t xml:space="preserve">If </w:t>
      </w:r>
      <w:r w:rsidRPr="00EB6DE0">
        <w:rPr>
          <w:rFonts w:cstheme="minorHAnsi"/>
        </w:rPr>
        <w:t>it goes ahead</w:t>
      </w:r>
      <w:r w:rsidR="0082133B">
        <w:rPr>
          <w:rFonts w:cstheme="minorHAnsi"/>
        </w:rPr>
        <w:t>,</w:t>
      </w:r>
      <w:r>
        <w:rPr>
          <w:rFonts w:cstheme="minorHAnsi"/>
        </w:rPr>
        <w:t xml:space="preserve"> t</w:t>
      </w:r>
      <w:r w:rsidR="007317F2" w:rsidRPr="00EB6DE0">
        <w:rPr>
          <w:rFonts w:cstheme="minorHAnsi"/>
        </w:rPr>
        <w:t xml:space="preserve">he </w:t>
      </w:r>
      <w:r w:rsidR="007317F2" w:rsidRPr="00EB6DE0">
        <w:rPr>
          <w:rFonts w:cstheme="minorHAnsi"/>
          <w:iCs/>
        </w:rPr>
        <w:t>impact</w:t>
      </w:r>
      <w:r w:rsidR="007317F2" w:rsidRPr="00EB6DE0">
        <w:rPr>
          <w:rFonts w:cstheme="minorHAnsi"/>
        </w:rPr>
        <w:t xml:space="preserve"> of the </w:t>
      </w:r>
      <w:r w:rsidR="00BE4AF3" w:rsidRPr="00EB6DE0">
        <w:rPr>
          <w:rFonts w:cstheme="minorHAnsi"/>
        </w:rPr>
        <w:t>benefits-based charge</w:t>
      </w:r>
      <w:r w:rsidR="007317F2" w:rsidRPr="00EB6DE0">
        <w:rPr>
          <w:rFonts w:cstheme="minorHAnsi"/>
        </w:rPr>
        <w:t xml:space="preserve"> in the TPM3 proposal</w:t>
      </w:r>
      <w:r w:rsidR="00BE4AF3" w:rsidRPr="00EB6DE0">
        <w:rPr>
          <w:rFonts w:cstheme="minorHAnsi"/>
        </w:rPr>
        <w:t xml:space="preserve"> </w:t>
      </w:r>
      <w:r w:rsidR="002F04CF" w:rsidRPr="00EB6DE0">
        <w:rPr>
          <w:rFonts w:cstheme="minorHAnsi"/>
        </w:rPr>
        <w:t>will</w:t>
      </w:r>
      <w:r w:rsidR="00BE4AF3" w:rsidRPr="00EB6DE0">
        <w:rPr>
          <w:rFonts w:cstheme="minorHAnsi"/>
        </w:rPr>
        <w:t xml:space="preserve"> not</w:t>
      </w:r>
      <w:r w:rsidR="009E38F0">
        <w:rPr>
          <w:rFonts w:cstheme="minorHAnsi"/>
        </w:rPr>
        <w:t xml:space="preserve"> be</w:t>
      </w:r>
      <w:r w:rsidR="00BE4AF3" w:rsidRPr="00EB6DE0">
        <w:rPr>
          <w:rFonts w:cstheme="minorHAnsi"/>
        </w:rPr>
        <w:t xml:space="preserve"> clear</w:t>
      </w:r>
      <w:r w:rsidR="00EB6DE0" w:rsidRPr="00EB6DE0">
        <w:rPr>
          <w:rFonts w:cstheme="minorHAnsi"/>
        </w:rPr>
        <w:t xml:space="preserve"> until Transpower develops the </w:t>
      </w:r>
      <w:r>
        <w:rPr>
          <w:rFonts w:cstheme="minorHAnsi"/>
        </w:rPr>
        <w:t xml:space="preserve">methodology </w:t>
      </w:r>
      <w:r w:rsidR="00BE4AF3" w:rsidRPr="00EB6DE0">
        <w:rPr>
          <w:rFonts w:cstheme="minorHAnsi"/>
        </w:rPr>
        <w:t>but</w:t>
      </w:r>
      <w:r>
        <w:rPr>
          <w:rFonts w:cstheme="minorHAnsi"/>
        </w:rPr>
        <w:t xml:space="preserve"> it </w:t>
      </w:r>
      <w:r w:rsidR="00BE4AF3" w:rsidRPr="00EB6DE0">
        <w:rPr>
          <w:rFonts w:cstheme="minorHAnsi"/>
        </w:rPr>
        <w:t xml:space="preserve">will </w:t>
      </w:r>
      <w:r w:rsidR="00EB6DE0" w:rsidRPr="00EB6DE0">
        <w:rPr>
          <w:rFonts w:cstheme="minorHAnsi"/>
        </w:rPr>
        <w:t xml:space="preserve">for certain </w:t>
      </w:r>
      <w:r w:rsidR="00BE4AF3" w:rsidRPr="00EB6DE0">
        <w:rPr>
          <w:rFonts w:cstheme="minorHAnsi"/>
        </w:rPr>
        <w:t>remain contentious</w:t>
      </w:r>
      <w:r>
        <w:rPr>
          <w:rFonts w:cstheme="minorHAnsi"/>
        </w:rPr>
        <w:t xml:space="preserve"> because of its arbitrary nature. In the end i</w:t>
      </w:r>
      <w:r w:rsidR="00BE4AF3" w:rsidRPr="00EB6DE0">
        <w:rPr>
          <w:rFonts w:cstheme="minorHAnsi"/>
        </w:rPr>
        <w:t>t</w:t>
      </w:r>
      <w:r w:rsidR="007317F2" w:rsidRPr="00EB6DE0">
        <w:rPr>
          <w:rFonts w:cstheme="minorHAnsi"/>
        </w:rPr>
        <w:t xml:space="preserve"> will </w:t>
      </w:r>
      <w:r>
        <w:rPr>
          <w:rFonts w:cstheme="minorHAnsi"/>
        </w:rPr>
        <w:t xml:space="preserve">however </w:t>
      </w:r>
      <w:r w:rsidR="007317F2" w:rsidRPr="00EB6DE0">
        <w:rPr>
          <w:rFonts w:cstheme="minorHAnsi"/>
        </w:rPr>
        <w:t>depend on the</w:t>
      </w:r>
      <w:r w:rsidR="00EB6DE0" w:rsidRPr="00EB6DE0">
        <w:rPr>
          <w:rFonts w:cstheme="minorHAnsi"/>
        </w:rPr>
        <w:t xml:space="preserve"> </w:t>
      </w:r>
      <w:r w:rsidR="00EB6DE0">
        <w:rPr>
          <w:rFonts w:cstheme="minorHAnsi"/>
        </w:rPr>
        <w:t>f</w:t>
      </w:r>
      <w:r w:rsidR="003778DA" w:rsidRPr="00EB6DE0">
        <w:rPr>
          <w:rFonts w:cstheme="minorHAnsi"/>
        </w:rPr>
        <w:t xml:space="preserve">inal </w:t>
      </w:r>
      <w:r w:rsidR="007317F2" w:rsidRPr="00EB6DE0">
        <w:rPr>
          <w:rFonts w:cstheme="minorHAnsi"/>
        </w:rPr>
        <w:t xml:space="preserve">scope of the </w:t>
      </w:r>
      <w:r w:rsidR="003778DA" w:rsidRPr="00EB6DE0">
        <w:rPr>
          <w:rFonts w:cstheme="minorHAnsi"/>
        </w:rPr>
        <w:t>benefits-based charge</w:t>
      </w:r>
      <w:r w:rsidR="007317F2" w:rsidRPr="00EB6DE0">
        <w:rPr>
          <w:rFonts w:cstheme="minorHAnsi"/>
        </w:rPr>
        <w:t xml:space="preserve"> mechanism (that is</w:t>
      </w:r>
      <w:r w:rsidR="003778DA" w:rsidRPr="00EB6DE0">
        <w:rPr>
          <w:rFonts w:cstheme="minorHAnsi"/>
        </w:rPr>
        <w:t>,</w:t>
      </w:r>
      <w:r w:rsidR="007317F2" w:rsidRPr="00EB6DE0">
        <w:rPr>
          <w:rFonts w:cstheme="minorHAnsi"/>
        </w:rPr>
        <w:t xml:space="preserve"> whether it includes all 7 assets </w:t>
      </w:r>
      <w:r w:rsidR="00BE4AF3" w:rsidRPr="00EB6DE0">
        <w:rPr>
          <w:rFonts w:cstheme="minorHAnsi"/>
        </w:rPr>
        <w:t>as</w:t>
      </w:r>
      <w:r w:rsidR="007317F2" w:rsidRPr="00EB6DE0">
        <w:rPr>
          <w:rFonts w:cstheme="minorHAnsi"/>
        </w:rPr>
        <w:t xml:space="preserve"> propos</w:t>
      </w:r>
      <w:r w:rsidR="003778DA" w:rsidRPr="00EB6DE0">
        <w:rPr>
          <w:rFonts w:cstheme="minorHAnsi"/>
        </w:rPr>
        <w:t xml:space="preserve">ed, or just HVDC </w:t>
      </w:r>
      <w:r w:rsidR="00EB6DE0" w:rsidRPr="00EB6DE0">
        <w:rPr>
          <w:rFonts w:cstheme="minorHAnsi"/>
        </w:rPr>
        <w:t>or some other choice of assets to include</w:t>
      </w:r>
      <w:r w:rsidR="007317F2" w:rsidRPr="00EB6DE0">
        <w:rPr>
          <w:rFonts w:cstheme="minorHAnsi"/>
        </w:rPr>
        <w:t>).</w:t>
      </w:r>
    </w:p>
    <w:p w14:paraId="7F9B9087" w14:textId="2175CCEF" w:rsidR="00B85952" w:rsidRPr="00B85952" w:rsidRDefault="00EB6DE0" w:rsidP="007317F2">
      <w:pPr>
        <w:pStyle w:val="UnnumtextBodytext"/>
        <w:numPr>
          <w:ilvl w:val="0"/>
          <w:numId w:val="8"/>
        </w:numPr>
        <w:ind w:left="450" w:hanging="450"/>
        <w:rPr>
          <w:rFonts w:cstheme="minorHAnsi"/>
        </w:rPr>
      </w:pPr>
      <w:r>
        <w:rPr>
          <w:rFonts w:cstheme="minorHAnsi"/>
          <w:iCs/>
        </w:rPr>
        <w:t>We</w:t>
      </w:r>
      <w:r w:rsidR="007317F2" w:rsidRPr="007317F2">
        <w:rPr>
          <w:rFonts w:cstheme="minorHAnsi"/>
          <w:iCs/>
        </w:rPr>
        <w:t xml:space="preserve"> </w:t>
      </w:r>
      <w:r>
        <w:rPr>
          <w:rFonts w:cstheme="minorHAnsi"/>
          <w:iCs/>
        </w:rPr>
        <w:t>consider that there</w:t>
      </w:r>
      <w:r w:rsidR="007317F2" w:rsidRPr="007317F2">
        <w:rPr>
          <w:rFonts w:cstheme="minorHAnsi"/>
          <w:iCs/>
        </w:rPr>
        <w:t xml:space="preserve"> are undesirable aspects of changing the TPM </w:t>
      </w:r>
      <w:r w:rsidR="007317F2" w:rsidRPr="00BE4AF3">
        <w:rPr>
          <w:rFonts w:cstheme="minorHAnsi"/>
          <w:iCs/>
          <w:u w:val="single"/>
        </w:rPr>
        <w:t>after</w:t>
      </w:r>
      <w:r w:rsidR="007317F2" w:rsidRPr="007317F2">
        <w:rPr>
          <w:rFonts w:cstheme="minorHAnsi"/>
          <w:iCs/>
        </w:rPr>
        <w:t xml:space="preserve"> a lot of grid investment has been made to</w:t>
      </w:r>
      <w:r w:rsidR="003778DA">
        <w:rPr>
          <w:rFonts w:cstheme="minorHAnsi"/>
          <w:iCs/>
        </w:rPr>
        <w:t xml:space="preserve"> the</w:t>
      </w:r>
      <w:r w:rsidR="007317F2" w:rsidRPr="007317F2">
        <w:rPr>
          <w:rFonts w:cstheme="minorHAnsi"/>
          <w:iCs/>
        </w:rPr>
        <w:t xml:space="preserve"> benefit certain parties,</w:t>
      </w:r>
      <w:r w:rsidR="00B85952">
        <w:rPr>
          <w:rFonts w:cstheme="minorHAnsi"/>
          <w:iCs/>
        </w:rPr>
        <w:t xml:space="preserve"> and we do not support a retrospective benefits-based charge. </w:t>
      </w:r>
      <w:r w:rsidR="007317F2" w:rsidRPr="007317F2">
        <w:rPr>
          <w:rFonts w:cstheme="minorHAnsi"/>
          <w:iCs/>
        </w:rPr>
        <w:t xml:space="preserve"> </w:t>
      </w:r>
      <w:r w:rsidR="00B85952">
        <w:rPr>
          <w:rFonts w:cstheme="minorHAnsi"/>
          <w:iCs/>
        </w:rPr>
        <w:t>However,</w:t>
      </w:r>
      <w:r w:rsidR="003778DA">
        <w:rPr>
          <w:rFonts w:cstheme="minorHAnsi"/>
          <w:iCs/>
        </w:rPr>
        <w:t xml:space="preserve"> </w:t>
      </w:r>
      <w:r w:rsidR="00700F02">
        <w:rPr>
          <w:rFonts w:cstheme="minorHAnsi"/>
          <w:iCs/>
        </w:rPr>
        <w:t>the ENA</w:t>
      </w:r>
      <w:r w:rsidR="007317F2" w:rsidRPr="007317F2">
        <w:rPr>
          <w:rFonts w:cstheme="minorHAnsi"/>
          <w:iCs/>
        </w:rPr>
        <w:t xml:space="preserve"> </w:t>
      </w:r>
      <w:r w:rsidR="00B85952">
        <w:rPr>
          <w:rFonts w:cstheme="minorHAnsi"/>
          <w:iCs/>
        </w:rPr>
        <w:t>could</w:t>
      </w:r>
      <w:r w:rsidR="003778DA">
        <w:rPr>
          <w:rFonts w:cstheme="minorHAnsi"/>
          <w:iCs/>
        </w:rPr>
        <w:t xml:space="preserve"> </w:t>
      </w:r>
      <w:r w:rsidR="00700F02">
        <w:rPr>
          <w:rFonts w:cstheme="minorHAnsi"/>
          <w:iCs/>
        </w:rPr>
        <w:t xml:space="preserve">consider </w:t>
      </w:r>
      <w:r w:rsidR="007317F2" w:rsidRPr="007317F2">
        <w:rPr>
          <w:rFonts w:cstheme="minorHAnsi"/>
          <w:iCs/>
        </w:rPr>
        <w:t>support</w:t>
      </w:r>
      <w:r w:rsidR="00700F02">
        <w:rPr>
          <w:rFonts w:cstheme="minorHAnsi"/>
          <w:iCs/>
        </w:rPr>
        <w:t>ing</w:t>
      </w:r>
      <w:r w:rsidR="007317F2" w:rsidRPr="007317F2">
        <w:rPr>
          <w:rFonts w:cstheme="minorHAnsi"/>
          <w:iCs/>
        </w:rPr>
        <w:t xml:space="preserve"> a</w:t>
      </w:r>
      <w:r w:rsidR="003778DA">
        <w:rPr>
          <w:rFonts w:cstheme="minorHAnsi"/>
          <w:iCs/>
        </w:rPr>
        <w:t xml:space="preserve"> forward-looking</w:t>
      </w:r>
      <w:r w:rsidR="007317F2" w:rsidRPr="007317F2">
        <w:rPr>
          <w:rFonts w:cstheme="minorHAnsi"/>
          <w:iCs/>
        </w:rPr>
        <w:t xml:space="preserve"> </w:t>
      </w:r>
      <w:r w:rsidR="003778DA">
        <w:rPr>
          <w:rFonts w:cstheme="minorHAnsi"/>
          <w:iCs/>
        </w:rPr>
        <w:t xml:space="preserve">benefits-based charge that </w:t>
      </w:r>
      <w:r>
        <w:rPr>
          <w:rFonts w:cstheme="minorHAnsi"/>
          <w:iCs/>
        </w:rPr>
        <w:t>has clearly identifiable</w:t>
      </w:r>
      <w:r w:rsidR="003778DA">
        <w:rPr>
          <w:rFonts w:cstheme="minorHAnsi"/>
          <w:iCs/>
        </w:rPr>
        <w:t xml:space="preserve"> local benefits from grid investments</w:t>
      </w:r>
      <w:r w:rsidR="00A425BB">
        <w:rPr>
          <w:rFonts w:cstheme="minorHAnsi"/>
          <w:iCs/>
        </w:rPr>
        <w:t xml:space="preserve"> (as opposed to broadly based benefits)</w:t>
      </w:r>
      <w:r w:rsidR="00B85952">
        <w:rPr>
          <w:rFonts w:cstheme="minorHAnsi"/>
          <w:iCs/>
        </w:rPr>
        <w:t xml:space="preserve"> </w:t>
      </w:r>
      <w:r w:rsidR="00A853E7">
        <w:rPr>
          <w:rFonts w:cstheme="minorHAnsi"/>
          <w:iCs/>
        </w:rPr>
        <w:t xml:space="preserve">but only </w:t>
      </w:r>
      <w:r w:rsidR="000A001E">
        <w:rPr>
          <w:rFonts w:cstheme="minorHAnsi"/>
          <w:iCs/>
        </w:rPr>
        <w:t>if</w:t>
      </w:r>
      <w:r w:rsidR="00B85952">
        <w:rPr>
          <w:rFonts w:cstheme="minorHAnsi"/>
          <w:iCs/>
        </w:rPr>
        <w:t xml:space="preserve"> the benefits can be forecast </w:t>
      </w:r>
      <w:r w:rsidR="00700F02">
        <w:rPr>
          <w:rFonts w:cstheme="minorHAnsi"/>
          <w:iCs/>
        </w:rPr>
        <w:t xml:space="preserve">over the life of the investment </w:t>
      </w:r>
      <w:r w:rsidR="00B85952">
        <w:rPr>
          <w:rFonts w:cstheme="minorHAnsi"/>
          <w:iCs/>
        </w:rPr>
        <w:t>with some accuracy</w:t>
      </w:r>
      <w:r w:rsidR="003778DA">
        <w:rPr>
          <w:rFonts w:cstheme="minorHAnsi"/>
          <w:iCs/>
        </w:rPr>
        <w:t>.</w:t>
      </w:r>
      <w:r w:rsidR="007317F2" w:rsidRPr="007317F2">
        <w:rPr>
          <w:rFonts w:cstheme="minorHAnsi"/>
          <w:iCs/>
        </w:rPr>
        <w:t xml:space="preserve"> </w:t>
      </w:r>
      <w:r w:rsidR="00B85952">
        <w:rPr>
          <w:rFonts w:cstheme="minorHAnsi"/>
          <w:iCs/>
        </w:rPr>
        <w:t xml:space="preserve">As commented elsewhere in this </w:t>
      </w:r>
      <w:r w:rsidR="00A853E7">
        <w:rPr>
          <w:rFonts w:cstheme="minorHAnsi"/>
          <w:iCs/>
        </w:rPr>
        <w:t xml:space="preserve">ENA </w:t>
      </w:r>
      <w:r w:rsidR="00B85952">
        <w:rPr>
          <w:rFonts w:cstheme="minorHAnsi"/>
          <w:iCs/>
        </w:rPr>
        <w:t xml:space="preserve">submission we have reservations as to whether this is </w:t>
      </w:r>
      <w:r w:rsidR="00A853E7">
        <w:rPr>
          <w:rFonts w:cstheme="minorHAnsi"/>
          <w:iCs/>
        </w:rPr>
        <w:t>at all</w:t>
      </w:r>
      <w:r w:rsidR="000A001E">
        <w:rPr>
          <w:rFonts w:cstheme="minorHAnsi"/>
          <w:iCs/>
        </w:rPr>
        <w:t xml:space="preserve"> </w:t>
      </w:r>
      <w:r w:rsidR="00B85952">
        <w:rPr>
          <w:rFonts w:cstheme="minorHAnsi"/>
          <w:iCs/>
        </w:rPr>
        <w:t>possible.</w:t>
      </w:r>
    </w:p>
    <w:p w14:paraId="46BEF127" w14:textId="407D9077" w:rsidR="00F17CEF" w:rsidRPr="00B85952" w:rsidRDefault="007317F2" w:rsidP="006B1186">
      <w:pPr>
        <w:pStyle w:val="UnnumtextBodytext"/>
        <w:numPr>
          <w:ilvl w:val="0"/>
          <w:numId w:val="8"/>
        </w:numPr>
        <w:ind w:left="450" w:hanging="450"/>
        <w:rPr>
          <w:rFonts w:cstheme="minorHAnsi"/>
        </w:rPr>
      </w:pPr>
      <w:r w:rsidRPr="00B85952">
        <w:rPr>
          <w:rFonts w:cstheme="minorHAnsi"/>
          <w:iCs/>
        </w:rPr>
        <w:t xml:space="preserve"> </w:t>
      </w:r>
      <w:r w:rsidR="00F17CEF" w:rsidRPr="00B85952">
        <w:rPr>
          <w:rFonts w:cstheme="minorHAnsi"/>
          <w:iCs/>
        </w:rPr>
        <w:t xml:space="preserve">We also question the use of depreciated historical cost as the base for the benefit-based charges because this will result in decreasing price levels as the assets age and a price step up as they are replaced. This will certainly compromise allocative efficiency. </w:t>
      </w:r>
      <w:r w:rsidR="003A3D24" w:rsidRPr="00B85952">
        <w:rPr>
          <w:rFonts w:cstheme="minorHAnsi"/>
          <w:iCs/>
        </w:rPr>
        <w:t xml:space="preserve">If this component of the TPM3 proposal is targeted at </w:t>
      </w:r>
      <w:r w:rsidR="00D422FF" w:rsidRPr="00B85952">
        <w:rPr>
          <w:rFonts w:cstheme="minorHAnsi"/>
          <w:iCs/>
        </w:rPr>
        <w:t xml:space="preserve">limiting the potential for customers to overpay for these assets, it is unnecessary because Transpower’s revenue is a zero-sum game – it is all recovered </w:t>
      </w:r>
      <w:r w:rsidR="000A001E">
        <w:rPr>
          <w:rFonts w:cstheme="minorHAnsi"/>
          <w:iCs/>
        </w:rPr>
        <w:t>through one allocation mechanism</w:t>
      </w:r>
      <w:r w:rsidR="00D422FF" w:rsidRPr="00B85952">
        <w:rPr>
          <w:rFonts w:cstheme="minorHAnsi"/>
          <w:iCs/>
        </w:rPr>
        <w:t xml:space="preserve"> or another.</w:t>
      </w:r>
    </w:p>
    <w:p w14:paraId="34F86AD8" w14:textId="0C3F6EC3" w:rsidR="00D422FF" w:rsidRPr="007317F2" w:rsidRDefault="00D422FF" w:rsidP="007317F2">
      <w:pPr>
        <w:pStyle w:val="UnnumtextBodytext"/>
        <w:numPr>
          <w:ilvl w:val="0"/>
          <w:numId w:val="8"/>
        </w:numPr>
        <w:ind w:left="450" w:hanging="450"/>
        <w:rPr>
          <w:rFonts w:cstheme="minorHAnsi"/>
        </w:rPr>
      </w:pPr>
      <w:r>
        <w:rPr>
          <w:rFonts w:cstheme="minorHAnsi"/>
        </w:rPr>
        <w:t xml:space="preserve">Our last point </w:t>
      </w:r>
      <w:r w:rsidR="000A001E">
        <w:rPr>
          <w:rFonts w:cstheme="minorHAnsi"/>
        </w:rPr>
        <w:t>here</w:t>
      </w:r>
      <w:r>
        <w:rPr>
          <w:rFonts w:cstheme="minorHAnsi"/>
        </w:rPr>
        <w:t xml:space="preserve"> relates to Transpower’s ability to accurately estimate the 30 to 50-year private benefits from transmission assets, especially when facing the type of changes that </w:t>
      </w:r>
      <w:r w:rsidR="000A001E">
        <w:rPr>
          <w:rFonts w:cstheme="minorHAnsi"/>
        </w:rPr>
        <w:t>are</w:t>
      </w:r>
      <w:r>
        <w:rPr>
          <w:rFonts w:cstheme="minorHAnsi"/>
        </w:rPr>
        <w:t xml:space="preserve"> contemplated for the electricity industry. We consider the approach will most certainly result in more dispute and </w:t>
      </w:r>
      <w:r w:rsidR="000A001E">
        <w:rPr>
          <w:rFonts w:cstheme="minorHAnsi"/>
        </w:rPr>
        <w:t xml:space="preserve">non-trivial </w:t>
      </w:r>
      <w:r>
        <w:rPr>
          <w:rFonts w:cstheme="minorHAnsi"/>
        </w:rPr>
        <w:t xml:space="preserve">cost to the economy. </w:t>
      </w:r>
    </w:p>
    <w:p w14:paraId="139C9EF0" w14:textId="42805F82" w:rsidR="004B1F1D" w:rsidRPr="003E7F38" w:rsidRDefault="00835977" w:rsidP="004B1F1D">
      <w:pPr>
        <w:pStyle w:val="UnnumtextBodytext"/>
        <w:rPr>
          <w:rStyle w:val="Heading6Char"/>
          <w:rFonts w:asciiTheme="minorHAnsi" w:hAnsiTheme="minorHAnsi" w:cstheme="minorHAnsi"/>
          <w:color w:val="00B0F0"/>
          <w:sz w:val="24"/>
        </w:rPr>
      </w:pPr>
      <w:r>
        <w:rPr>
          <w:rStyle w:val="Heading6Char"/>
          <w:rFonts w:asciiTheme="minorHAnsi" w:hAnsiTheme="minorHAnsi" w:cstheme="minorHAnsi"/>
          <w:color w:val="00B0F0"/>
          <w:sz w:val="24"/>
        </w:rPr>
        <w:t>P</w:t>
      </w:r>
      <w:r w:rsidR="004B1F1D" w:rsidRPr="003E7F38">
        <w:rPr>
          <w:rStyle w:val="Heading6Char"/>
          <w:rFonts w:asciiTheme="minorHAnsi" w:hAnsiTheme="minorHAnsi" w:cstheme="minorHAnsi"/>
          <w:color w:val="00B0F0"/>
          <w:sz w:val="24"/>
        </w:rPr>
        <w:t>rice cap</w:t>
      </w:r>
    </w:p>
    <w:p w14:paraId="5EDEAA2E" w14:textId="6802E8C7" w:rsidR="004B1F1D" w:rsidRPr="003E7F38" w:rsidRDefault="004B1F1D" w:rsidP="004B1F1D">
      <w:pPr>
        <w:pStyle w:val="UnnumtextBodytext"/>
        <w:numPr>
          <w:ilvl w:val="0"/>
          <w:numId w:val="8"/>
        </w:numPr>
        <w:ind w:left="450" w:hanging="450"/>
        <w:rPr>
          <w:rFonts w:cstheme="minorHAnsi"/>
        </w:rPr>
      </w:pPr>
      <w:r w:rsidRPr="003E7F38">
        <w:rPr>
          <w:rFonts w:cstheme="minorHAnsi"/>
        </w:rPr>
        <w:t xml:space="preserve">Accepting that the </w:t>
      </w:r>
      <w:r w:rsidR="000A001E">
        <w:rPr>
          <w:rFonts w:cstheme="minorHAnsi"/>
        </w:rPr>
        <w:t xml:space="preserve">TPM2 </w:t>
      </w:r>
      <w:r w:rsidRPr="003E7F38">
        <w:rPr>
          <w:rFonts w:cstheme="minorHAnsi"/>
        </w:rPr>
        <w:t xml:space="preserve">modelling was indicative at best, </w:t>
      </w:r>
      <w:r>
        <w:rPr>
          <w:rFonts w:cstheme="minorHAnsi"/>
        </w:rPr>
        <w:t xml:space="preserve">in 2016 </w:t>
      </w:r>
      <w:r w:rsidRPr="003E7F38">
        <w:rPr>
          <w:rFonts w:cstheme="minorHAnsi"/>
        </w:rPr>
        <w:t>the Authority decided to include a capping mechanism to limit the potential adverse impact on consumers. The</w:t>
      </w:r>
      <w:r w:rsidR="0097370B">
        <w:rPr>
          <w:rFonts w:cstheme="minorHAnsi"/>
        </w:rPr>
        <w:t xml:space="preserve"> TPM3</w:t>
      </w:r>
      <w:r w:rsidRPr="003E7F38">
        <w:rPr>
          <w:rFonts w:cstheme="minorHAnsi"/>
        </w:rPr>
        <w:t xml:space="preserve"> </w:t>
      </w:r>
      <w:r w:rsidR="000A001E">
        <w:rPr>
          <w:rFonts w:cstheme="minorHAnsi"/>
        </w:rPr>
        <w:t xml:space="preserve">proposal includes a </w:t>
      </w:r>
      <w:r w:rsidRPr="003E7F38">
        <w:rPr>
          <w:rFonts w:cstheme="minorHAnsi"/>
        </w:rPr>
        <w:t>cap</w:t>
      </w:r>
      <w:r w:rsidR="000A001E">
        <w:rPr>
          <w:rFonts w:cstheme="minorHAnsi"/>
        </w:rPr>
        <w:t xml:space="preserve"> that</w:t>
      </w:r>
      <w:r w:rsidRPr="003E7F38">
        <w:rPr>
          <w:rFonts w:cstheme="minorHAnsi"/>
        </w:rPr>
        <w:t xml:space="preserve"> limits the increase in the annual bills</w:t>
      </w:r>
      <w:r w:rsidR="00EB6DE0">
        <w:rPr>
          <w:rFonts w:cstheme="minorHAnsi"/>
        </w:rPr>
        <w:t xml:space="preserve"> for ‘capped transmission charges’</w:t>
      </w:r>
      <w:r w:rsidR="0097370B" w:rsidRPr="003E7F38">
        <w:rPr>
          <w:rFonts w:cstheme="minorHAnsi"/>
        </w:rPr>
        <w:t xml:space="preserve"> </w:t>
      </w:r>
      <w:r w:rsidRPr="003E7F38">
        <w:rPr>
          <w:rFonts w:cstheme="minorHAnsi"/>
        </w:rPr>
        <w:t>for all end customers</w:t>
      </w:r>
      <w:r w:rsidR="000A001E">
        <w:rPr>
          <w:rFonts w:cstheme="minorHAnsi"/>
        </w:rPr>
        <w:t xml:space="preserve"> </w:t>
      </w:r>
      <w:r w:rsidRPr="003E7F38">
        <w:rPr>
          <w:rFonts w:cstheme="minorHAnsi"/>
        </w:rPr>
        <w:t xml:space="preserve">to </w:t>
      </w:r>
      <w:r w:rsidR="0097370B" w:rsidRPr="003E7F38">
        <w:rPr>
          <w:rFonts w:cstheme="minorHAnsi"/>
        </w:rPr>
        <w:t>3.5% pa</w:t>
      </w:r>
      <w:r w:rsidRPr="003E7F38">
        <w:rPr>
          <w:rFonts w:cstheme="minorHAnsi"/>
        </w:rPr>
        <w:t xml:space="preserve"> </w:t>
      </w:r>
      <w:r w:rsidR="0097370B" w:rsidRPr="003E7F38">
        <w:rPr>
          <w:rFonts w:cstheme="minorHAnsi"/>
        </w:rPr>
        <w:t>above the reference years (2019/20)</w:t>
      </w:r>
      <w:r w:rsidR="000A001E">
        <w:rPr>
          <w:rFonts w:cstheme="minorHAnsi"/>
        </w:rPr>
        <w:t>,</w:t>
      </w:r>
      <w:r w:rsidR="0097370B">
        <w:rPr>
          <w:rFonts w:cstheme="minorHAnsi"/>
        </w:rPr>
        <w:t xml:space="preserve"> </w:t>
      </w:r>
      <w:r w:rsidRPr="003E7F38">
        <w:rPr>
          <w:rFonts w:cstheme="minorHAnsi"/>
        </w:rPr>
        <w:t>for 3 years after TPM</w:t>
      </w:r>
      <w:r>
        <w:rPr>
          <w:rFonts w:cstheme="minorHAnsi"/>
        </w:rPr>
        <w:t>3</w:t>
      </w:r>
      <w:r w:rsidRPr="003E7F38">
        <w:rPr>
          <w:rFonts w:cstheme="minorHAnsi"/>
        </w:rPr>
        <w:t xml:space="preserve"> comes into force</w:t>
      </w:r>
      <w:r w:rsidR="0097370B">
        <w:rPr>
          <w:rFonts w:cstheme="minorHAnsi"/>
        </w:rPr>
        <w:t>.</w:t>
      </w:r>
      <w:r w:rsidRPr="003E7F38">
        <w:rPr>
          <w:rFonts w:cstheme="minorHAnsi"/>
        </w:rPr>
        <w:t xml:space="preserve"> In other words, if the combined end consumers </w:t>
      </w:r>
      <w:r w:rsidR="0097370B" w:rsidRPr="003E7F38">
        <w:rPr>
          <w:rFonts w:cstheme="minorHAnsi"/>
        </w:rPr>
        <w:t>bill</w:t>
      </w:r>
      <w:r w:rsidRPr="003E7F38">
        <w:rPr>
          <w:rFonts w:cstheme="minorHAnsi"/>
        </w:rPr>
        <w:t xml:space="preserve"> </w:t>
      </w:r>
      <w:r w:rsidR="0097370B">
        <w:rPr>
          <w:rFonts w:cstheme="minorHAnsi"/>
        </w:rPr>
        <w:t>to</w:t>
      </w:r>
      <w:r w:rsidRPr="003E7F38">
        <w:rPr>
          <w:rFonts w:cstheme="minorHAnsi"/>
        </w:rPr>
        <w:t xml:space="preserve">, say, Vector, increase by more than 3.5% in 2020/21, then the excess above the 3.5% is </w:t>
      </w:r>
      <w:r w:rsidR="00EB6DE0">
        <w:rPr>
          <w:rFonts w:cstheme="minorHAnsi"/>
        </w:rPr>
        <w:t>re</w:t>
      </w:r>
      <w:r w:rsidRPr="003E7F38">
        <w:rPr>
          <w:rFonts w:cstheme="minorHAnsi"/>
        </w:rPr>
        <w:t xml:space="preserve">charged to other grid users with less than 3.5% increase. In year one </w:t>
      </w:r>
      <w:r>
        <w:rPr>
          <w:rFonts w:cstheme="minorHAnsi"/>
        </w:rPr>
        <w:t>TPM2 saw</w:t>
      </w:r>
      <w:r w:rsidRPr="003E7F38">
        <w:rPr>
          <w:rFonts w:cstheme="minorHAnsi"/>
        </w:rPr>
        <w:t xml:space="preserve"> $34 million transferred under this capping approach</w:t>
      </w:r>
      <w:r w:rsidR="0097370B">
        <w:rPr>
          <w:rFonts w:cstheme="minorHAnsi"/>
        </w:rPr>
        <w:t>,</w:t>
      </w:r>
      <w:r>
        <w:rPr>
          <w:rFonts w:cstheme="minorHAnsi"/>
        </w:rPr>
        <w:t xml:space="preserve"> while this has been reduced to $16.1m under TPM3</w:t>
      </w:r>
      <w:r w:rsidRPr="003E7F38">
        <w:rPr>
          <w:rFonts w:cstheme="minorHAnsi"/>
        </w:rPr>
        <w:t>.</w:t>
      </w:r>
    </w:p>
    <w:p w14:paraId="45044C9F" w14:textId="2B065973" w:rsidR="00033575" w:rsidRDefault="00DB00B7" w:rsidP="004B1F1D">
      <w:pPr>
        <w:pStyle w:val="UnnumtextBodytext"/>
        <w:numPr>
          <w:ilvl w:val="0"/>
          <w:numId w:val="8"/>
        </w:numPr>
        <w:ind w:left="450" w:hanging="450"/>
        <w:rPr>
          <w:rFonts w:cstheme="minorHAnsi"/>
        </w:rPr>
      </w:pPr>
      <w:r>
        <w:rPr>
          <w:rFonts w:cstheme="minorHAnsi"/>
        </w:rPr>
        <w:t>T</w:t>
      </w:r>
      <w:r w:rsidR="004B1F1D" w:rsidRPr="003E7F38">
        <w:rPr>
          <w:rFonts w:cstheme="minorHAnsi"/>
        </w:rPr>
        <w:t>he ENA considers that th</w:t>
      </w:r>
      <w:r w:rsidR="00EB6DE0">
        <w:rPr>
          <w:rFonts w:cstheme="minorHAnsi"/>
        </w:rPr>
        <w:t>e</w:t>
      </w:r>
      <w:r w:rsidR="004B1F1D" w:rsidRPr="003E7F38">
        <w:rPr>
          <w:rFonts w:cstheme="minorHAnsi"/>
        </w:rPr>
        <w:t xml:space="preserve"> mechanism</w:t>
      </w:r>
      <w:r w:rsidR="00EB6DE0">
        <w:rPr>
          <w:rFonts w:cstheme="minorHAnsi"/>
        </w:rPr>
        <w:t xml:space="preserve"> as proposed</w:t>
      </w:r>
      <w:r w:rsidR="004B1F1D" w:rsidRPr="003E7F38">
        <w:rPr>
          <w:rFonts w:cstheme="minorHAnsi"/>
        </w:rPr>
        <w:t xml:space="preserve"> is</w:t>
      </w:r>
      <w:r w:rsidR="004B1F1D">
        <w:rPr>
          <w:rFonts w:cstheme="minorHAnsi"/>
        </w:rPr>
        <w:t xml:space="preserve"> still</w:t>
      </w:r>
      <w:r w:rsidR="004B1F1D" w:rsidRPr="003E7F38">
        <w:rPr>
          <w:rFonts w:cstheme="minorHAnsi"/>
        </w:rPr>
        <w:t xml:space="preserve"> likely to deliver distorted outcomes and impact the durability of (transmission and distribution) network pricing over time. </w:t>
      </w:r>
      <w:r>
        <w:rPr>
          <w:rFonts w:cstheme="minorHAnsi"/>
        </w:rPr>
        <w:t>We note that t</w:t>
      </w:r>
      <w:r w:rsidR="00EB6DE0">
        <w:rPr>
          <w:rFonts w:cstheme="minorHAnsi"/>
        </w:rPr>
        <w:t xml:space="preserve">he capping mechanism only applies to a subset of total transmission charges (the residual and the </w:t>
      </w:r>
      <w:r w:rsidR="00033575">
        <w:rPr>
          <w:rFonts w:cstheme="minorHAnsi"/>
        </w:rPr>
        <w:t>benefits-based</w:t>
      </w:r>
      <w:r w:rsidR="00EB6DE0">
        <w:rPr>
          <w:rFonts w:cstheme="minorHAnsi"/>
        </w:rPr>
        <w:t xml:space="preserve"> charges for 7 assets)</w:t>
      </w:r>
      <w:r w:rsidR="00033575">
        <w:rPr>
          <w:rFonts w:cstheme="minorHAnsi"/>
        </w:rPr>
        <w:t xml:space="preserve"> and will not include any future assets, or an increase in the 7 assets, should Transpower decide to add these to the benefits-based charge. </w:t>
      </w:r>
    </w:p>
    <w:p w14:paraId="1F3388F2" w14:textId="7EF4EF55" w:rsidR="004B1F1D" w:rsidRDefault="004B1F1D" w:rsidP="004B1F1D">
      <w:pPr>
        <w:pStyle w:val="UnnumtextBodytext"/>
        <w:numPr>
          <w:ilvl w:val="0"/>
          <w:numId w:val="8"/>
        </w:numPr>
        <w:ind w:left="450" w:hanging="450"/>
        <w:rPr>
          <w:rFonts w:cstheme="minorHAnsi"/>
        </w:rPr>
      </w:pPr>
      <w:r w:rsidRPr="003E7F38">
        <w:rPr>
          <w:rFonts w:cstheme="minorHAnsi"/>
        </w:rPr>
        <w:lastRenderedPageBreak/>
        <w:t>While we agree that a transition is sensible, the capping mechanism</w:t>
      </w:r>
      <w:r w:rsidR="00033575">
        <w:rPr>
          <w:rFonts w:cstheme="minorHAnsi"/>
        </w:rPr>
        <w:t xml:space="preserve"> as proposed will do precious little to limit the impacts of the TPM3 proposal on customer bills (distribution charges will certainly increase if the TPM3 proposal comes anywhere near having the impacts that it assumes and </w:t>
      </w:r>
      <w:r w:rsidR="0082133B">
        <w:rPr>
          <w:rFonts w:cstheme="minorHAnsi"/>
        </w:rPr>
        <w:t xml:space="preserve">we consider it </w:t>
      </w:r>
      <w:r w:rsidR="00033575">
        <w:rPr>
          <w:rFonts w:cstheme="minorHAnsi"/>
        </w:rPr>
        <w:t>likely that spot prices will</w:t>
      </w:r>
      <w:r w:rsidR="00DB00B7">
        <w:rPr>
          <w:rFonts w:cstheme="minorHAnsi"/>
        </w:rPr>
        <w:t xml:space="preserve"> in reality</w:t>
      </w:r>
      <w:r w:rsidR="00033575">
        <w:rPr>
          <w:rFonts w:cstheme="minorHAnsi"/>
        </w:rPr>
        <w:t xml:space="preserve"> increase</w:t>
      </w:r>
      <w:r w:rsidR="00DB00B7">
        <w:rPr>
          <w:rFonts w:cstheme="minorHAnsi"/>
        </w:rPr>
        <w:t>,</w:t>
      </w:r>
      <w:r w:rsidR="00033575">
        <w:rPr>
          <w:rFonts w:cstheme="minorHAnsi"/>
        </w:rPr>
        <w:t xml:space="preserve"> not decrease as is assumed in the CBA).</w:t>
      </w:r>
    </w:p>
    <w:p w14:paraId="3F377B3C" w14:textId="5717584F" w:rsidR="00033575" w:rsidRPr="003E7F38" w:rsidRDefault="00033575" w:rsidP="004B1F1D">
      <w:pPr>
        <w:pStyle w:val="UnnumtextBodytext"/>
        <w:numPr>
          <w:ilvl w:val="0"/>
          <w:numId w:val="8"/>
        </w:numPr>
        <w:ind w:left="450" w:hanging="450"/>
        <w:rPr>
          <w:rFonts w:cstheme="minorHAnsi"/>
        </w:rPr>
      </w:pPr>
      <w:r>
        <w:rPr>
          <w:rFonts w:cstheme="minorHAnsi"/>
        </w:rPr>
        <w:t xml:space="preserve">We suggest that a more orderly transition could come from spreading the price reductions </w:t>
      </w:r>
      <w:r w:rsidR="00DB00B7">
        <w:rPr>
          <w:rFonts w:cstheme="minorHAnsi"/>
        </w:rPr>
        <w:t xml:space="preserve">(for example </w:t>
      </w:r>
      <w:r>
        <w:rPr>
          <w:rFonts w:cstheme="minorHAnsi"/>
        </w:rPr>
        <w:t xml:space="preserve">to Meridian and NZAS) out over a longer </w:t>
      </w:r>
      <w:r w:rsidR="001F1CA5">
        <w:rPr>
          <w:rFonts w:cstheme="minorHAnsi"/>
        </w:rPr>
        <w:t>period and fund the cap that way. This would avoid the reallocation of price increases among (mainly) load customers, some of which are large.</w:t>
      </w:r>
      <w:r w:rsidR="00036A38">
        <w:rPr>
          <w:rFonts w:cstheme="minorHAnsi"/>
        </w:rPr>
        <w:t xml:space="preserve"> There are also technical issues with the proposed timing of the base prices against which the annual increases will be measure (WACC reduction in 2020 and the </w:t>
      </w:r>
      <w:r w:rsidR="00F17CEF">
        <w:rPr>
          <w:rFonts w:cstheme="minorHAnsi"/>
        </w:rPr>
        <w:t>5-year</w:t>
      </w:r>
      <w:r w:rsidR="00036A38">
        <w:rPr>
          <w:rFonts w:cstheme="minorHAnsi"/>
        </w:rPr>
        <w:t xml:space="preserve"> measurement year starting 2018).</w:t>
      </w:r>
    </w:p>
    <w:p w14:paraId="0CE97B48" w14:textId="77777777" w:rsidR="00835977" w:rsidRPr="003E7F38" w:rsidRDefault="00835977" w:rsidP="00835977">
      <w:pPr>
        <w:pStyle w:val="UnnumtextBodytext"/>
        <w:rPr>
          <w:rStyle w:val="Heading6Char"/>
          <w:rFonts w:asciiTheme="minorHAnsi" w:hAnsiTheme="minorHAnsi" w:cstheme="minorHAnsi"/>
          <w:color w:val="00B0F0"/>
          <w:sz w:val="24"/>
        </w:rPr>
      </w:pPr>
      <w:r w:rsidRPr="003E7F38">
        <w:rPr>
          <w:rStyle w:val="Heading6Char"/>
          <w:rFonts w:asciiTheme="minorHAnsi" w:hAnsiTheme="minorHAnsi" w:cstheme="minorHAnsi"/>
          <w:color w:val="00B0F0"/>
          <w:sz w:val="24"/>
        </w:rPr>
        <w:t>Residual</w:t>
      </w:r>
    </w:p>
    <w:p w14:paraId="6A54EAA8" w14:textId="271579CA" w:rsidR="00937686" w:rsidRDefault="00835977" w:rsidP="00835977">
      <w:pPr>
        <w:pStyle w:val="UnnumtextBodytext"/>
        <w:numPr>
          <w:ilvl w:val="0"/>
          <w:numId w:val="8"/>
        </w:numPr>
        <w:ind w:left="450" w:hanging="450"/>
        <w:rPr>
          <w:rFonts w:cstheme="minorHAnsi"/>
        </w:rPr>
      </w:pPr>
      <w:r w:rsidRPr="003E7F38">
        <w:rPr>
          <w:rFonts w:cstheme="minorHAnsi"/>
        </w:rPr>
        <w:t>The Authority’s core objective for the residual</w:t>
      </w:r>
      <w:r w:rsidR="007F3CC5">
        <w:rPr>
          <w:rFonts w:cstheme="minorHAnsi"/>
        </w:rPr>
        <w:t xml:space="preserve"> is</w:t>
      </w:r>
      <w:r w:rsidRPr="003E7F38">
        <w:rPr>
          <w:rFonts w:cstheme="minorHAnsi"/>
        </w:rPr>
        <w:t xml:space="preserve"> that grid users should be unable to avoid it. The Authority has set out a schedule of further “principles” to guide Transpower to achieve this outcome, however the schedule does not define the allocation mechanism, referring to the use of “historical AMD or another method”. Importantly the Authority expects that</w:t>
      </w:r>
      <w:r w:rsidR="00D31871">
        <w:rPr>
          <w:rFonts w:cstheme="minorHAnsi"/>
        </w:rPr>
        <w:t xml:space="preserve"> both</w:t>
      </w:r>
      <w:r w:rsidRPr="003E7F38">
        <w:rPr>
          <w:rFonts w:cstheme="minorHAnsi"/>
        </w:rPr>
        <w:t xml:space="preserve"> the residual</w:t>
      </w:r>
      <w:r w:rsidR="00D31871">
        <w:rPr>
          <w:rFonts w:cstheme="minorHAnsi"/>
        </w:rPr>
        <w:t xml:space="preserve"> charge </w:t>
      </w:r>
      <w:r w:rsidRPr="003E7F38">
        <w:rPr>
          <w:rFonts w:cstheme="minorHAnsi"/>
        </w:rPr>
        <w:t xml:space="preserve">and if </w:t>
      </w:r>
      <w:r w:rsidR="00D31871" w:rsidRPr="003E7F38">
        <w:rPr>
          <w:rFonts w:cstheme="minorHAnsi"/>
        </w:rPr>
        <w:t>necessary</w:t>
      </w:r>
      <w:r w:rsidR="00D31871">
        <w:rPr>
          <w:rFonts w:cstheme="minorHAnsi"/>
        </w:rPr>
        <w:t xml:space="preserve">, </w:t>
      </w:r>
      <w:r w:rsidRPr="003E7F38">
        <w:rPr>
          <w:rFonts w:cstheme="minorHAnsi"/>
        </w:rPr>
        <w:t>the</w:t>
      </w:r>
      <w:r w:rsidR="00D31871">
        <w:rPr>
          <w:rFonts w:cstheme="minorHAnsi"/>
        </w:rPr>
        <w:t xml:space="preserve"> benefits-based charge,</w:t>
      </w:r>
      <w:r w:rsidRPr="003E7F38">
        <w:rPr>
          <w:rFonts w:cstheme="minorHAnsi"/>
        </w:rPr>
        <w:t xml:space="preserve"> to be “fair” – specifically that they will result in broadly equivalent charges for customers that are in broadly equivalent circumstances. </w:t>
      </w:r>
      <w:r w:rsidR="00937686">
        <w:rPr>
          <w:rFonts w:cstheme="minorHAnsi"/>
        </w:rPr>
        <w:t>We do not see that this is possible when residual charges are applied to only load and not generation who share use of the transmission grid.</w:t>
      </w:r>
    </w:p>
    <w:p w14:paraId="4D187F00" w14:textId="5F410E22" w:rsidR="00AD3193" w:rsidRPr="003E7F38" w:rsidRDefault="00D31871" w:rsidP="00AD3193">
      <w:pPr>
        <w:pStyle w:val="UnnumtextBodytext"/>
        <w:numPr>
          <w:ilvl w:val="0"/>
          <w:numId w:val="8"/>
        </w:numPr>
        <w:ind w:left="450" w:hanging="450"/>
        <w:rPr>
          <w:rFonts w:cstheme="minorHAnsi"/>
        </w:rPr>
      </w:pPr>
      <w:r>
        <w:rPr>
          <w:rFonts w:cstheme="minorHAnsi"/>
        </w:rPr>
        <w:t>Depending on choices that the Authority makes with other components (or it decides to leave the choices up to Transpower)</w:t>
      </w:r>
      <w:r w:rsidR="00AD3193" w:rsidRPr="003E7F38">
        <w:rPr>
          <w:rFonts w:cstheme="minorHAnsi"/>
        </w:rPr>
        <w:t xml:space="preserve"> the residual will change shape over time –</w:t>
      </w:r>
      <w:r>
        <w:rPr>
          <w:rFonts w:cstheme="minorHAnsi"/>
        </w:rPr>
        <w:t xml:space="preserve"> it will reduce under a benefits based regime </w:t>
      </w:r>
      <w:r w:rsidR="00937686">
        <w:rPr>
          <w:rFonts w:cstheme="minorHAnsi"/>
        </w:rPr>
        <w:t xml:space="preserve">as proposed </w:t>
      </w:r>
      <w:r w:rsidR="00D236AB">
        <w:rPr>
          <w:rFonts w:cstheme="minorHAnsi"/>
        </w:rPr>
        <w:t>and</w:t>
      </w:r>
      <w:r>
        <w:rPr>
          <w:rFonts w:cstheme="minorHAnsi"/>
        </w:rPr>
        <w:t xml:space="preserve"> will</w:t>
      </w:r>
      <w:r w:rsidR="00AD3193" w:rsidRPr="003E7F38">
        <w:rPr>
          <w:rFonts w:cstheme="minorHAnsi"/>
        </w:rPr>
        <w:t xml:space="preserve"> likely</w:t>
      </w:r>
      <w:r w:rsidR="00937686">
        <w:rPr>
          <w:rFonts w:cstheme="minorHAnsi"/>
        </w:rPr>
        <w:t xml:space="preserve"> also</w:t>
      </w:r>
      <w:r w:rsidR="00AD3193" w:rsidRPr="003E7F38">
        <w:rPr>
          <w:rFonts w:cstheme="minorHAnsi"/>
        </w:rPr>
        <w:t xml:space="preserve"> reduc</w:t>
      </w:r>
      <w:r>
        <w:rPr>
          <w:rFonts w:cstheme="minorHAnsi"/>
        </w:rPr>
        <w:t>e</w:t>
      </w:r>
      <w:r w:rsidR="00AD3193" w:rsidRPr="003E7F38">
        <w:rPr>
          <w:rFonts w:cstheme="minorHAnsi"/>
        </w:rPr>
        <w:t xml:space="preserve"> in size as th</w:t>
      </w:r>
      <w:r w:rsidR="00D236AB">
        <w:rPr>
          <w:rFonts w:cstheme="minorHAnsi"/>
        </w:rPr>
        <w:t>e</w:t>
      </w:r>
      <w:r w:rsidR="00AD3193" w:rsidRPr="003E7F38">
        <w:rPr>
          <w:rFonts w:cstheme="minorHAnsi"/>
        </w:rPr>
        <w:t xml:space="preserve"> RCPD charge is replaced with a </w:t>
      </w:r>
      <w:r>
        <w:rPr>
          <w:rFonts w:cstheme="minorHAnsi"/>
        </w:rPr>
        <w:t>peak demand</w:t>
      </w:r>
      <w:r w:rsidR="00AD3193" w:rsidRPr="003E7F38">
        <w:rPr>
          <w:rFonts w:cstheme="minorHAnsi"/>
        </w:rPr>
        <w:t xml:space="preserve"> pricing mechanism. </w:t>
      </w:r>
      <w:r w:rsidR="00AD3193">
        <w:rPr>
          <w:rFonts w:cstheme="minorHAnsi"/>
        </w:rPr>
        <w:t>We note the</w:t>
      </w:r>
      <w:r w:rsidR="00D236AB">
        <w:rPr>
          <w:rFonts w:cstheme="minorHAnsi"/>
        </w:rPr>
        <w:t xml:space="preserve"> overall</w:t>
      </w:r>
      <w:r w:rsidR="00AD3193">
        <w:rPr>
          <w:rFonts w:cstheme="minorHAnsi"/>
        </w:rPr>
        <w:t xml:space="preserve"> increase in size of the TPM3</w:t>
      </w:r>
      <w:r>
        <w:rPr>
          <w:rFonts w:cstheme="minorHAnsi"/>
        </w:rPr>
        <w:t xml:space="preserve"> proposal</w:t>
      </w:r>
      <w:r w:rsidR="00AD3193">
        <w:rPr>
          <w:rFonts w:cstheme="minorHAnsi"/>
        </w:rPr>
        <w:t xml:space="preserve"> residual compared to TPM2.</w:t>
      </w:r>
    </w:p>
    <w:p w14:paraId="24EC217F" w14:textId="79278844" w:rsidR="00F039D0" w:rsidRPr="003E7F38" w:rsidRDefault="00D31871" w:rsidP="00F039D0">
      <w:pPr>
        <w:pStyle w:val="UnnumtextBodytext"/>
        <w:rPr>
          <w:rStyle w:val="Heading6Char"/>
          <w:rFonts w:asciiTheme="minorHAnsi" w:hAnsiTheme="minorHAnsi" w:cstheme="minorHAnsi"/>
          <w:color w:val="00B0F0"/>
          <w:sz w:val="24"/>
        </w:rPr>
      </w:pPr>
      <w:r>
        <w:rPr>
          <w:rStyle w:val="Heading6Char"/>
          <w:rFonts w:asciiTheme="minorHAnsi" w:hAnsiTheme="minorHAnsi" w:cstheme="minorHAnsi"/>
          <w:color w:val="00B0F0"/>
          <w:sz w:val="24"/>
        </w:rPr>
        <w:t>Signal of peak demand costs</w:t>
      </w:r>
    </w:p>
    <w:p w14:paraId="2A0DCAF9" w14:textId="450E03A0" w:rsidR="003701D3" w:rsidRPr="003E7F38" w:rsidRDefault="00A51E7D" w:rsidP="00B72AB3">
      <w:pPr>
        <w:pStyle w:val="UnnumtextBodytext"/>
        <w:numPr>
          <w:ilvl w:val="0"/>
          <w:numId w:val="8"/>
        </w:numPr>
        <w:ind w:left="450" w:hanging="450"/>
        <w:rPr>
          <w:rFonts w:cstheme="minorHAnsi"/>
        </w:rPr>
      </w:pPr>
      <w:r w:rsidRPr="006C7322">
        <w:rPr>
          <w:rFonts w:cstheme="minorHAnsi"/>
        </w:rPr>
        <w:t>The ENA</w:t>
      </w:r>
      <w:r w:rsidR="003701D3" w:rsidRPr="006C7322">
        <w:rPr>
          <w:rFonts w:cstheme="minorHAnsi"/>
        </w:rPr>
        <w:t xml:space="preserve"> </w:t>
      </w:r>
      <w:r w:rsidR="00937686" w:rsidRPr="006C7322">
        <w:rPr>
          <w:rFonts w:cstheme="minorHAnsi"/>
        </w:rPr>
        <w:t>acknowledge</w:t>
      </w:r>
      <w:r w:rsidR="003701D3" w:rsidRPr="006C7322">
        <w:rPr>
          <w:rFonts w:cstheme="minorHAnsi"/>
        </w:rPr>
        <w:t xml:space="preserve"> that nodal pricing is reasonably efficient in the short run</w:t>
      </w:r>
      <w:r w:rsidR="003701D3" w:rsidRPr="003E7F38">
        <w:rPr>
          <w:rFonts w:cstheme="minorHAnsi"/>
        </w:rPr>
        <w:t xml:space="preserve"> (though some inefficiencies </w:t>
      </w:r>
      <w:r w:rsidR="00EF1292" w:rsidRPr="003E7F38">
        <w:rPr>
          <w:rFonts w:cstheme="minorHAnsi"/>
        </w:rPr>
        <w:t xml:space="preserve">do </w:t>
      </w:r>
      <w:r w:rsidR="003701D3" w:rsidRPr="003E7F38">
        <w:rPr>
          <w:rFonts w:cstheme="minorHAnsi"/>
        </w:rPr>
        <w:t>arise from a variety of sources)</w:t>
      </w:r>
      <w:r w:rsidR="00EF1292" w:rsidRPr="003E7F38">
        <w:rPr>
          <w:rFonts w:cstheme="minorHAnsi"/>
        </w:rPr>
        <w:t>,</w:t>
      </w:r>
      <w:r w:rsidR="003701D3" w:rsidRPr="003E7F38">
        <w:rPr>
          <w:rFonts w:cstheme="minorHAnsi"/>
        </w:rPr>
        <w:t xml:space="preserve"> but it is no replacement for a</w:t>
      </w:r>
      <w:r w:rsidR="0060639D">
        <w:rPr>
          <w:rFonts w:cstheme="minorHAnsi"/>
        </w:rPr>
        <w:t xml:space="preserve">n enduring </w:t>
      </w:r>
      <w:r w:rsidR="00C66244">
        <w:rPr>
          <w:rFonts w:cstheme="minorHAnsi"/>
        </w:rPr>
        <w:t xml:space="preserve">peak demand </w:t>
      </w:r>
      <w:r w:rsidR="003701D3" w:rsidRPr="003E7F38">
        <w:rPr>
          <w:rFonts w:cstheme="minorHAnsi"/>
        </w:rPr>
        <w:t>pricing component</w:t>
      </w:r>
      <w:r w:rsidR="003701D3" w:rsidRPr="001154C5">
        <w:rPr>
          <w:rFonts w:cstheme="minorHAnsi"/>
        </w:rPr>
        <w:t>.</w:t>
      </w:r>
      <w:r w:rsidR="00EF1292" w:rsidRPr="001154C5">
        <w:rPr>
          <w:rFonts w:cstheme="minorHAnsi"/>
        </w:rPr>
        <w:t xml:space="preserve"> A </w:t>
      </w:r>
      <w:r w:rsidR="00C66244">
        <w:rPr>
          <w:rFonts w:cstheme="minorHAnsi"/>
        </w:rPr>
        <w:t>peak-demand</w:t>
      </w:r>
      <w:r w:rsidR="00EF1292" w:rsidRPr="001154C5">
        <w:rPr>
          <w:rFonts w:cstheme="minorHAnsi"/>
        </w:rPr>
        <w:t xml:space="preserve"> charge </w:t>
      </w:r>
      <w:r w:rsidR="003C687D" w:rsidRPr="001154C5">
        <w:rPr>
          <w:rFonts w:cstheme="minorHAnsi"/>
        </w:rPr>
        <w:t>is necessary for</w:t>
      </w:r>
      <w:r w:rsidR="00EF1292" w:rsidRPr="001154C5">
        <w:rPr>
          <w:rFonts w:cstheme="minorHAnsi"/>
        </w:rPr>
        <w:t xml:space="preserve"> locations where congestion will require additional grid investment.</w:t>
      </w:r>
      <w:r w:rsidR="00544324" w:rsidRPr="001154C5">
        <w:rPr>
          <w:rFonts w:cstheme="minorHAnsi"/>
        </w:rPr>
        <w:t xml:space="preserve"> The existing </w:t>
      </w:r>
      <w:r w:rsidR="00C66244" w:rsidRPr="001154C5">
        <w:rPr>
          <w:rFonts w:cstheme="minorHAnsi"/>
        </w:rPr>
        <w:t xml:space="preserve">peak demand </w:t>
      </w:r>
      <w:r w:rsidR="00544324" w:rsidRPr="001154C5">
        <w:rPr>
          <w:rFonts w:cstheme="minorHAnsi"/>
        </w:rPr>
        <w:t>charge was</w:t>
      </w:r>
      <w:r w:rsidR="00B2215F" w:rsidRPr="001154C5">
        <w:rPr>
          <w:rFonts w:cstheme="minorHAnsi"/>
        </w:rPr>
        <w:t xml:space="preserve"> presumably</w:t>
      </w:r>
      <w:r w:rsidR="00544324" w:rsidRPr="001154C5">
        <w:rPr>
          <w:rFonts w:cstheme="minorHAnsi"/>
        </w:rPr>
        <w:t xml:space="preserve"> developed with this</w:t>
      </w:r>
      <w:r w:rsidR="003C687D" w:rsidRPr="001154C5">
        <w:rPr>
          <w:rFonts w:cstheme="minorHAnsi"/>
        </w:rPr>
        <w:t xml:space="preserve"> </w:t>
      </w:r>
      <w:r w:rsidR="00544324" w:rsidRPr="001154C5">
        <w:rPr>
          <w:rFonts w:cstheme="minorHAnsi"/>
        </w:rPr>
        <w:t>issue in mind</w:t>
      </w:r>
      <w:r w:rsidR="001154C5" w:rsidRPr="001154C5">
        <w:rPr>
          <w:rFonts w:cstheme="minorHAnsi"/>
        </w:rPr>
        <w:t xml:space="preserve"> (with the different number of periods used to determine </w:t>
      </w:r>
      <w:r w:rsidR="00C66244">
        <w:rPr>
          <w:rFonts w:cstheme="minorHAnsi"/>
        </w:rPr>
        <w:t xml:space="preserve">chargeable </w:t>
      </w:r>
      <w:r w:rsidR="001154C5" w:rsidRPr="001154C5">
        <w:rPr>
          <w:rFonts w:cstheme="minorHAnsi"/>
        </w:rPr>
        <w:t>peaks in different parts of the national grid)</w:t>
      </w:r>
      <w:r w:rsidR="004E1FA6">
        <w:rPr>
          <w:rFonts w:cstheme="minorHAnsi"/>
        </w:rPr>
        <w:t>. It</w:t>
      </w:r>
      <w:r w:rsidR="00E6437A" w:rsidRPr="003E7F38">
        <w:rPr>
          <w:rFonts w:cstheme="minorHAnsi"/>
        </w:rPr>
        <w:t xml:space="preserve"> directs a materia</w:t>
      </w:r>
      <w:r w:rsidR="001154C5">
        <w:rPr>
          <w:rFonts w:cstheme="minorHAnsi"/>
        </w:rPr>
        <w:t>l demand response</w:t>
      </w:r>
      <w:r w:rsidR="00E6437A" w:rsidRPr="003E7F38">
        <w:rPr>
          <w:rFonts w:cstheme="minorHAnsi"/>
        </w:rPr>
        <w:t>.</w:t>
      </w:r>
    </w:p>
    <w:p w14:paraId="426126EA" w14:textId="071538A1" w:rsidR="0060639D" w:rsidRDefault="00F039D0" w:rsidP="00F039D0">
      <w:pPr>
        <w:pStyle w:val="UnnumtextBodytext"/>
        <w:numPr>
          <w:ilvl w:val="0"/>
          <w:numId w:val="8"/>
        </w:numPr>
        <w:ind w:left="450" w:hanging="450"/>
        <w:rPr>
          <w:rFonts w:cstheme="minorHAnsi"/>
        </w:rPr>
      </w:pPr>
      <w:r w:rsidRPr="003E7F38">
        <w:rPr>
          <w:rFonts w:cstheme="minorHAnsi"/>
        </w:rPr>
        <w:t xml:space="preserve">Removing the current </w:t>
      </w:r>
      <w:r w:rsidR="00517AA7">
        <w:rPr>
          <w:rFonts w:cstheme="minorHAnsi"/>
        </w:rPr>
        <w:t xml:space="preserve">peak </w:t>
      </w:r>
      <w:r w:rsidRPr="003E7F38">
        <w:rPr>
          <w:rFonts w:cstheme="minorHAnsi"/>
        </w:rPr>
        <w:t>charge</w:t>
      </w:r>
      <w:r w:rsidR="00B2215F" w:rsidRPr="003E7F38">
        <w:rPr>
          <w:rFonts w:cstheme="minorHAnsi"/>
        </w:rPr>
        <w:t xml:space="preserve"> without another similar peak </w:t>
      </w:r>
      <w:r w:rsidR="00D236AB">
        <w:rPr>
          <w:rFonts w:cstheme="minorHAnsi"/>
        </w:rPr>
        <w:t>demand</w:t>
      </w:r>
      <w:r w:rsidR="00B2215F" w:rsidRPr="003E7F38">
        <w:rPr>
          <w:rFonts w:cstheme="minorHAnsi"/>
        </w:rPr>
        <w:t xml:space="preserve"> charge </w:t>
      </w:r>
      <w:r w:rsidRPr="003E7F38">
        <w:rPr>
          <w:rFonts w:cstheme="minorHAnsi"/>
        </w:rPr>
        <w:t xml:space="preserve">is </w:t>
      </w:r>
      <w:r w:rsidR="00B2215F" w:rsidRPr="003E7F38">
        <w:rPr>
          <w:rFonts w:cstheme="minorHAnsi"/>
        </w:rPr>
        <w:t xml:space="preserve">of </w:t>
      </w:r>
      <w:r w:rsidRPr="003E7F38">
        <w:rPr>
          <w:rFonts w:cstheme="minorHAnsi"/>
        </w:rPr>
        <w:t xml:space="preserve">concern </w:t>
      </w:r>
      <w:r w:rsidR="00E05C15" w:rsidRPr="003E7F38">
        <w:rPr>
          <w:rFonts w:cstheme="minorHAnsi"/>
        </w:rPr>
        <w:t xml:space="preserve">to </w:t>
      </w:r>
      <w:r w:rsidRPr="003E7F38">
        <w:rPr>
          <w:rFonts w:cstheme="minorHAnsi"/>
        </w:rPr>
        <w:t>ENA</w:t>
      </w:r>
      <w:r w:rsidR="00E05C15" w:rsidRPr="003E7F38">
        <w:rPr>
          <w:rFonts w:cstheme="minorHAnsi"/>
        </w:rPr>
        <w:t xml:space="preserve"> members</w:t>
      </w:r>
      <w:r w:rsidRPr="003E7F38">
        <w:rPr>
          <w:rFonts w:cstheme="minorHAnsi"/>
        </w:rPr>
        <w:t xml:space="preserve">. </w:t>
      </w:r>
      <w:r w:rsidR="003B2280">
        <w:rPr>
          <w:rFonts w:cstheme="minorHAnsi"/>
        </w:rPr>
        <w:t xml:space="preserve">If it is </w:t>
      </w:r>
      <w:r w:rsidR="0060639D">
        <w:rPr>
          <w:rFonts w:cstheme="minorHAnsi"/>
        </w:rPr>
        <w:t>structured</w:t>
      </w:r>
      <w:r w:rsidR="003B2280">
        <w:rPr>
          <w:rFonts w:cstheme="minorHAnsi"/>
        </w:rPr>
        <w:t xml:space="preserve"> appropriately, a</w:t>
      </w:r>
      <w:r w:rsidR="0060639D">
        <w:rPr>
          <w:rFonts w:cstheme="minorHAnsi"/>
        </w:rPr>
        <w:t xml:space="preserve"> </w:t>
      </w:r>
      <w:r w:rsidR="003B2280">
        <w:rPr>
          <w:rFonts w:cstheme="minorHAnsi"/>
        </w:rPr>
        <w:t>peak-demand charge targets efficient peak demand response and</w:t>
      </w:r>
      <w:r w:rsidR="0060639D">
        <w:rPr>
          <w:rFonts w:cstheme="minorHAnsi"/>
        </w:rPr>
        <w:t xml:space="preserve"> allows ENA members to efficiently manage their networks. </w:t>
      </w:r>
    </w:p>
    <w:p w14:paraId="604903A6" w14:textId="73807238" w:rsidR="003B2280" w:rsidRDefault="003B2280" w:rsidP="00F039D0">
      <w:pPr>
        <w:pStyle w:val="UnnumtextBodytext"/>
        <w:numPr>
          <w:ilvl w:val="0"/>
          <w:numId w:val="8"/>
        </w:numPr>
        <w:ind w:left="450" w:hanging="450"/>
        <w:rPr>
          <w:rFonts w:cstheme="minorHAnsi"/>
        </w:rPr>
      </w:pPr>
      <w:r>
        <w:rPr>
          <w:rFonts w:cstheme="minorHAnsi"/>
        </w:rPr>
        <w:t xml:space="preserve">We consider that the Authority can achieve its objective of minimising avoidance behaviour, especially when grid level battery storage is an economic option by using a </w:t>
      </w:r>
      <w:r w:rsidR="005C2321">
        <w:rPr>
          <w:rFonts w:cstheme="minorHAnsi"/>
        </w:rPr>
        <w:t>well-structured</w:t>
      </w:r>
      <w:r>
        <w:rPr>
          <w:rFonts w:cstheme="minorHAnsi"/>
        </w:rPr>
        <w:t xml:space="preserve"> peak demand charge which will “pressure” grid users away from avoidance behaviour</w:t>
      </w:r>
      <w:r w:rsidR="00937686">
        <w:rPr>
          <w:rFonts w:cstheme="minorHAnsi"/>
        </w:rPr>
        <w:t>.</w:t>
      </w:r>
    </w:p>
    <w:p w14:paraId="11CDD65D" w14:textId="642DBE09" w:rsidR="00F039D0" w:rsidRDefault="009A1485" w:rsidP="00F039D0">
      <w:pPr>
        <w:pStyle w:val="UnnumtextBodytext"/>
        <w:numPr>
          <w:ilvl w:val="0"/>
          <w:numId w:val="8"/>
        </w:numPr>
        <w:ind w:left="450" w:hanging="450"/>
        <w:rPr>
          <w:rFonts w:cstheme="minorHAnsi"/>
        </w:rPr>
      </w:pPr>
      <w:r w:rsidRPr="003E7F38">
        <w:rPr>
          <w:rFonts w:cstheme="minorHAnsi"/>
        </w:rPr>
        <w:t>The arguments in favour of a location specific LRMC charge were core to the Authority 2014 working paper on LRMC charges.</w:t>
      </w:r>
      <w:r w:rsidR="00FD1C0F" w:rsidRPr="003E7F38">
        <w:rPr>
          <w:rFonts w:cstheme="minorHAnsi"/>
        </w:rPr>
        <w:t xml:space="preserve"> </w:t>
      </w:r>
      <w:r w:rsidRPr="003E7F38">
        <w:rPr>
          <w:rFonts w:cstheme="minorHAnsi"/>
        </w:rPr>
        <w:t>Between that time and the 2016 TPM2 Issues paper</w:t>
      </w:r>
      <w:r w:rsidR="00BA6A6B" w:rsidRPr="003E7F38">
        <w:rPr>
          <w:rFonts w:cstheme="minorHAnsi"/>
        </w:rPr>
        <w:t>,</w:t>
      </w:r>
      <w:r w:rsidRPr="003E7F38">
        <w:rPr>
          <w:rFonts w:cstheme="minorHAnsi"/>
        </w:rPr>
        <w:t xml:space="preserve"> the Authority left the inclusion of a LRMC charge as an</w:t>
      </w:r>
      <w:r w:rsidR="00E94E1F" w:rsidRPr="003E7F38">
        <w:rPr>
          <w:rFonts w:cstheme="minorHAnsi"/>
        </w:rPr>
        <w:t xml:space="preserve"> open question</w:t>
      </w:r>
      <w:r w:rsidR="003B2280">
        <w:rPr>
          <w:rFonts w:cstheme="minorHAnsi"/>
        </w:rPr>
        <w:t>,</w:t>
      </w:r>
      <w:r w:rsidR="004E1FA6">
        <w:rPr>
          <w:rFonts w:cstheme="minorHAnsi"/>
        </w:rPr>
        <w:t xml:space="preserve"> however</w:t>
      </w:r>
      <w:r w:rsidR="00E94E1F" w:rsidRPr="003E7F38">
        <w:rPr>
          <w:rFonts w:cstheme="minorHAnsi"/>
        </w:rPr>
        <w:t xml:space="preserve"> </w:t>
      </w:r>
      <w:r w:rsidR="00F91AEB" w:rsidRPr="003E7F38">
        <w:rPr>
          <w:rFonts w:cstheme="minorHAnsi"/>
        </w:rPr>
        <w:t>TPM</w:t>
      </w:r>
      <w:r w:rsidR="004E1FA6">
        <w:rPr>
          <w:rFonts w:cstheme="minorHAnsi"/>
        </w:rPr>
        <w:t>3 proposal</w:t>
      </w:r>
      <w:r w:rsidR="003B2280">
        <w:rPr>
          <w:rFonts w:cstheme="minorHAnsi"/>
        </w:rPr>
        <w:t xml:space="preserve"> moves further away and</w:t>
      </w:r>
      <w:r w:rsidR="00517AA7">
        <w:rPr>
          <w:rFonts w:cstheme="minorHAnsi"/>
        </w:rPr>
        <w:t xml:space="preserve"> now</w:t>
      </w:r>
      <w:r w:rsidR="00F91AEB" w:rsidRPr="003E7F38">
        <w:rPr>
          <w:rFonts w:cstheme="minorHAnsi"/>
        </w:rPr>
        <w:t xml:space="preserve"> </w:t>
      </w:r>
      <w:r w:rsidRPr="003E7F38">
        <w:rPr>
          <w:rFonts w:cstheme="minorHAnsi"/>
        </w:rPr>
        <w:t>require</w:t>
      </w:r>
      <w:r w:rsidR="004E1FA6">
        <w:rPr>
          <w:rFonts w:cstheme="minorHAnsi"/>
        </w:rPr>
        <w:t>s</w:t>
      </w:r>
      <w:r w:rsidRPr="003E7F38">
        <w:rPr>
          <w:rFonts w:cstheme="minorHAnsi"/>
        </w:rPr>
        <w:t xml:space="preserve"> Transpower to demonstrate the need for a </w:t>
      </w:r>
      <w:r w:rsidR="004E1FA6">
        <w:rPr>
          <w:rFonts w:cstheme="minorHAnsi"/>
        </w:rPr>
        <w:t xml:space="preserve">locational </w:t>
      </w:r>
      <w:r w:rsidRPr="003E7F38">
        <w:rPr>
          <w:rFonts w:cstheme="minorHAnsi"/>
        </w:rPr>
        <w:t xml:space="preserve">price signal over and above that provided </w:t>
      </w:r>
      <w:r w:rsidRPr="003E7F38">
        <w:rPr>
          <w:rFonts w:cstheme="minorHAnsi"/>
        </w:rPr>
        <w:lastRenderedPageBreak/>
        <w:t>for in nodal pricing.</w:t>
      </w:r>
      <w:r w:rsidR="00BA6A6B" w:rsidRPr="003E7F38">
        <w:rPr>
          <w:rFonts w:cstheme="minorHAnsi"/>
        </w:rPr>
        <w:t xml:space="preserve"> In the ENA’s view</w:t>
      </w:r>
      <w:r w:rsidR="00A6176B" w:rsidRPr="003E7F38">
        <w:rPr>
          <w:rFonts w:cstheme="minorHAnsi"/>
        </w:rPr>
        <w:t xml:space="preserve"> the </w:t>
      </w:r>
      <w:r w:rsidR="006C2CFB" w:rsidRPr="003E7F38">
        <w:rPr>
          <w:rFonts w:cstheme="minorHAnsi"/>
        </w:rPr>
        <w:t xml:space="preserve">2014 </w:t>
      </w:r>
      <w:r w:rsidR="00A6176B" w:rsidRPr="003E7F38">
        <w:rPr>
          <w:rFonts w:cstheme="minorHAnsi"/>
        </w:rPr>
        <w:t xml:space="preserve">paper has already </w:t>
      </w:r>
      <w:r w:rsidR="004E1FA6">
        <w:rPr>
          <w:rFonts w:cstheme="minorHAnsi"/>
        </w:rPr>
        <w:t xml:space="preserve">demonstrated this need and we would be surprised if Transpower does not argue strongly for the permanent inclusion of a </w:t>
      </w:r>
      <w:r w:rsidR="00517AA7">
        <w:rPr>
          <w:rFonts w:cstheme="minorHAnsi"/>
        </w:rPr>
        <w:t>peak demand</w:t>
      </w:r>
      <w:r w:rsidR="004E1FA6">
        <w:rPr>
          <w:rFonts w:cstheme="minorHAnsi"/>
        </w:rPr>
        <w:t xml:space="preserve"> charge.</w:t>
      </w:r>
    </w:p>
    <w:p w14:paraId="208C9517" w14:textId="6F6448DB" w:rsidR="003B2280" w:rsidRPr="003E7F38" w:rsidRDefault="003B2280" w:rsidP="003B2280">
      <w:pPr>
        <w:pStyle w:val="UnnumtextBodytext"/>
        <w:rPr>
          <w:rStyle w:val="Heading6Char"/>
          <w:rFonts w:asciiTheme="minorHAnsi" w:hAnsiTheme="minorHAnsi" w:cstheme="minorHAnsi"/>
          <w:color w:val="00B0F0"/>
          <w:sz w:val="24"/>
        </w:rPr>
      </w:pPr>
      <w:r>
        <w:rPr>
          <w:rStyle w:val="Heading6Char"/>
          <w:rFonts w:asciiTheme="minorHAnsi" w:hAnsiTheme="minorHAnsi" w:cstheme="minorHAnsi"/>
          <w:color w:val="00B0F0"/>
          <w:sz w:val="24"/>
        </w:rPr>
        <w:t>Use of AMD</w:t>
      </w:r>
    </w:p>
    <w:p w14:paraId="00A20D6E" w14:textId="794E04C5" w:rsidR="003B2280" w:rsidRDefault="003B2280" w:rsidP="003B2280">
      <w:pPr>
        <w:pStyle w:val="UnnumtextBodytext"/>
        <w:numPr>
          <w:ilvl w:val="0"/>
          <w:numId w:val="8"/>
        </w:numPr>
        <w:ind w:left="450" w:hanging="450"/>
        <w:rPr>
          <w:rFonts w:cstheme="minorHAnsi"/>
        </w:rPr>
      </w:pPr>
      <w:r w:rsidRPr="003E7F38">
        <w:rPr>
          <w:rFonts w:cstheme="minorHAnsi"/>
        </w:rPr>
        <w:t xml:space="preserve">The Authority’s </w:t>
      </w:r>
      <w:r w:rsidR="005C2321">
        <w:rPr>
          <w:rFonts w:cstheme="minorHAnsi"/>
        </w:rPr>
        <w:t xml:space="preserve">has previously proposed using </w:t>
      </w:r>
      <w:r w:rsidR="00C7372E">
        <w:rPr>
          <w:rFonts w:cstheme="minorHAnsi"/>
        </w:rPr>
        <w:t>“</w:t>
      </w:r>
      <w:r w:rsidR="005C2321">
        <w:rPr>
          <w:rFonts w:cstheme="minorHAnsi"/>
        </w:rPr>
        <w:t>AMD</w:t>
      </w:r>
      <w:r w:rsidR="00C7372E">
        <w:rPr>
          <w:rFonts w:cstheme="minorHAnsi"/>
        </w:rPr>
        <w:t xml:space="preserve"> or some other allocator”</w:t>
      </w:r>
      <w:r w:rsidR="005C2321">
        <w:rPr>
          <w:rFonts w:cstheme="minorHAnsi"/>
        </w:rPr>
        <w:t xml:space="preserve"> as the allocator for Transpower residual costs which was met with a wall of opposition.</w:t>
      </w:r>
      <w:r w:rsidR="00C7372E">
        <w:rPr>
          <w:rFonts w:cstheme="minorHAnsi"/>
        </w:rPr>
        <w:t xml:space="preserve"> </w:t>
      </w:r>
      <w:r w:rsidR="00A65CBC">
        <w:rPr>
          <w:rFonts w:cstheme="minorHAnsi"/>
        </w:rPr>
        <w:t>We note that the impacts of using gross or net AMD, or another measure (e.g. consumption) differs across ENA members. Hence, as with the re-allocation of historic grid costs via a benefits-based charge, the ENA has not commented on this aspect of the TPM3 proposal. ENA members will submit on this issue on their own behalf.</w:t>
      </w:r>
    </w:p>
    <w:p w14:paraId="03D40EF2" w14:textId="7C0EE9BC" w:rsidR="00A65CBC" w:rsidRDefault="00A65CBC" w:rsidP="003B2280">
      <w:pPr>
        <w:pStyle w:val="UnnumtextBodytext"/>
        <w:numPr>
          <w:ilvl w:val="0"/>
          <w:numId w:val="8"/>
        </w:numPr>
        <w:ind w:left="450" w:hanging="450"/>
        <w:rPr>
          <w:rFonts w:cstheme="minorHAnsi"/>
        </w:rPr>
      </w:pPr>
      <w:r>
        <w:rPr>
          <w:rFonts w:cstheme="minorHAnsi"/>
        </w:rPr>
        <w:t>We would however make some observations on aspects of the AMD proposal. First, it seems to us that the Authority wants to allocate the residual based on customer size and ability to pay. EDBs with several GXPs will have non-coincident AMDs added together. This is not a good measure of relative size simply because EDBs have differing peaks summer and winter in parts of their networks.</w:t>
      </w:r>
    </w:p>
    <w:p w14:paraId="7EC8258F" w14:textId="2C4916C6" w:rsidR="00A65CBC" w:rsidRPr="003E7F38" w:rsidRDefault="00A65CBC" w:rsidP="003B2280">
      <w:pPr>
        <w:pStyle w:val="UnnumtextBodytext"/>
        <w:numPr>
          <w:ilvl w:val="0"/>
          <w:numId w:val="8"/>
        </w:numPr>
        <w:ind w:left="450" w:hanging="450"/>
        <w:rPr>
          <w:rFonts w:cstheme="minorHAnsi"/>
        </w:rPr>
      </w:pPr>
      <w:r>
        <w:rPr>
          <w:rFonts w:cstheme="minorHAnsi"/>
        </w:rPr>
        <w:t>Secondly, we consider that the AMD measure as proposed favours large load who have flatter</w:t>
      </w:r>
      <w:r w:rsidR="004A7BE5">
        <w:rPr>
          <w:rFonts w:cstheme="minorHAnsi"/>
        </w:rPr>
        <w:t xml:space="preserve"> demand</w:t>
      </w:r>
      <w:r>
        <w:rPr>
          <w:rFonts w:cstheme="minorHAnsi"/>
        </w:rPr>
        <w:t xml:space="preserve"> profiles</w:t>
      </w:r>
      <w:r w:rsidR="00063AF4">
        <w:rPr>
          <w:rFonts w:cstheme="minorHAnsi"/>
        </w:rPr>
        <w:t xml:space="preserve"> compared to EDBs who have peaky</w:t>
      </w:r>
      <w:r w:rsidR="005C70EA">
        <w:rPr>
          <w:rFonts w:cstheme="minorHAnsi"/>
        </w:rPr>
        <w:t xml:space="preserve"> retail</w:t>
      </w:r>
      <w:r w:rsidR="004A7BE5">
        <w:rPr>
          <w:rFonts w:cstheme="minorHAnsi"/>
        </w:rPr>
        <w:t xml:space="preserve"> type</w:t>
      </w:r>
      <w:r w:rsidR="00063AF4">
        <w:rPr>
          <w:rFonts w:cstheme="minorHAnsi"/>
        </w:rPr>
        <w:t xml:space="preserve"> loads</w:t>
      </w:r>
      <w:r>
        <w:rPr>
          <w:rFonts w:cstheme="minorHAnsi"/>
        </w:rPr>
        <w:t>. It is not clear to us why the Authority</w:t>
      </w:r>
      <w:r w:rsidR="00063AF4">
        <w:rPr>
          <w:rFonts w:cstheme="minorHAnsi"/>
        </w:rPr>
        <w:t xml:space="preserve"> has a preference to</w:t>
      </w:r>
      <w:r>
        <w:rPr>
          <w:rFonts w:cstheme="minorHAnsi"/>
        </w:rPr>
        <w:t xml:space="preserve"> favour large load customers over EDBs in both this regard and with the proposed price cap</w:t>
      </w:r>
      <w:r w:rsidR="00063AF4">
        <w:rPr>
          <w:rFonts w:cstheme="minorHAnsi"/>
        </w:rPr>
        <w:t>.</w:t>
      </w:r>
    </w:p>
    <w:p w14:paraId="494F55BA" w14:textId="5CE274BB" w:rsidR="005E38EF" w:rsidRPr="003E7F38" w:rsidRDefault="00256E87" w:rsidP="007B3D52">
      <w:pPr>
        <w:pStyle w:val="11Heading"/>
        <w:ind w:hanging="780"/>
        <w:rPr>
          <w:rFonts w:asciiTheme="minorHAnsi" w:hAnsiTheme="minorHAnsi" w:cstheme="minorHAnsi"/>
        </w:rPr>
      </w:pPr>
      <w:bookmarkStart w:id="7" w:name="_Toc20839542"/>
      <w:r>
        <w:rPr>
          <w:rFonts w:asciiTheme="minorHAnsi" w:hAnsiTheme="minorHAnsi" w:cstheme="minorHAnsi"/>
        </w:rPr>
        <w:t>Process and durability</w:t>
      </w:r>
      <w:bookmarkEnd w:id="7"/>
    </w:p>
    <w:p w14:paraId="0398A188" w14:textId="587A8617" w:rsidR="005E38EF" w:rsidRPr="003E7F38" w:rsidRDefault="00A85D54" w:rsidP="00C7372E">
      <w:pPr>
        <w:pStyle w:val="UnnumtextBodytext"/>
        <w:numPr>
          <w:ilvl w:val="0"/>
          <w:numId w:val="8"/>
        </w:numPr>
        <w:ind w:left="450" w:hanging="450"/>
        <w:rPr>
          <w:rFonts w:cstheme="minorHAnsi"/>
        </w:rPr>
      </w:pPr>
      <w:r w:rsidRPr="003E7F38">
        <w:rPr>
          <w:rFonts w:cstheme="minorHAnsi"/>
        </w:rPr>
        <w:t>Our</w:t>
      </w:r>
      <w:r w:rsidR="008331B6" w:rsidRPr="003E7F38">
        <w:rPr>
          <w:rFonts w:cstheme="minorHAnsi"/>
        </w:rPr>
        <w:t xml:space="preserve"> </w:t>
      </w:r>
      <w:r w:rsidR="00BF318D">
        <w:rPr>
          <w:rFonts w:cstheme="minorHAnsi"/>
        </w:rPr>
        <w:t>submissions here</w:t>
      </w:r>
      <w:r w:rsidR="008331B6" w:rsidRPr="003E7F38">
        <w:rPr>
          <w:rFonts w:cstheme="minorHAnsi"/>
        </w:rPr>
        <w:t xml:space="preserve"> </w:t>
      </w:r>
      <w:r w:rsidRPr="003E7F38">
        <w:rPr>
          <w:rFonts w:cstheme="minorHAnsi"/>
        </w:rPr>
        <w:t>fall into the following categories:</w:t>
      </w:r>
    </w:p>
    <w:p w14:paraId="0CFF14CE" w14:textId="684B6F97" w:rsidR="00BD201B" w:rsidRPr="003E7F38" w:rsidRDefault="00BD201B" w:rsidP="00BD201B">
      <w:pPr>
        <w:pStyle w:val="UnnumtextBodytext"/>
        <w:rPr>
          <w:rFonts w:cstheme="minorHAnsi"/>
          <w:sz w:val="24"/>
        </w:rPr>
      </w:pPr>
      <w:r>
        <w:rPr>
          <w:rStyle w:val="Heading6Char"/>
          <w:rFonts w:asciiTheme="minorHAnsi" w:hAnsiTheme="minorHAnsi" w:cstheme="minorHAnsi"/>
          <w:color w:val="00B0F0"/>
          <w:sz w:val="24"/>
        </w:rPr>
        <w:t>Transpower’s discretion</w:t>
      </w:r>
    </w:p>
    <w:p w14:paraId="0659B663" w14:textId="77777777" w:rsidR="00C7372E" w:rsidRDefault="00C7372E" w:rsidP="00606089">
      <w:pPr>
        <w:pStyle w:val="UnnumtextBodytext"/>
        <w:numPr>
          <w:ilvl w:val="0"/>
          <w:numId w:val="8"/>
        </w:numPr>
        <w:spacing w:before="240"/>
        <w:ind w:left="450" w:hanging="450"/>
        <w:rPr>
          <w:iCs/>
        </w:rPr>
      </w:pPr>
      <w:r w:rsidRPr="00C7372E">
        <w:rPr>
          <w:iCs/>
        </w:rPr>
        <w:t>Within the TPM3 proposal there is a lot of</w:t>
      </w:r>
      <w:r w:rsidR="00BD201B" w:rsidRPr="00C7372E">
        <w:rPr>
          <w:iCs/>
        </w:rPr>
        <w:t xml:space="preserve"> </w:t>
      </w:r>
      <w:r w:rsidR="00BD201B" w:rsidRPr="00C7372E">
        <w:rPr>
          <w:rFonts w:cstheme="minorHAnsi"/>
        </w:rPr>
        <w:t>scope</w:t>
      </w:r>
      <w:r w:rsidR="00BD201B" w:rsidRPr="00C7372E">
        <w:rPr>
          <w:iCs/>
        </w:rPr>
        <w:t xml:space="preserve"> for </w:t>
      </w:r>
      <w:r w:rsidRPr="00C7372E">
        <w:rPr>
          <w:iCs/>
        </w:rPr>
        <w:t xml:space="preserve">Transpower </w:t>
      </w:r>
      <w:r w:rsidR="00BD201B" w:rsidRPr="00C7372E">
        <w:rPr>
          <w:iCs/>
        </w:rPr>
        <w:t xml:space="preserve">to suggest variations to the basic </w:t>
      </w:r>
      <w:r w:rsidRPr="00C7372E">
        <w:rPr>
          <w:iCs/>
        </w:rPr>
        <w:t xml:space="preserve">TPM3 </w:t>
      </w:r>
      <w:r w:rsidR="00BD201B" w:rsidRPr="00C7372E">
        <w:rPr>
          <w:iCs/>
        </w:rPr>
        <w:t>structure – but</w:t>
      </w:r>
      <w:r w:rsidRPr="00C7372E">
        <w:rPr>
          <w:iCs/>
        </w:rPr>
        <w:t xml:space="preserve"> this is subject to</w:t>
      </w:r>
      <w:r w:rsidR="00BD201B" w:rsidRPr="00C7372E">
        <w:rPr>
          <w:iCs/>
        </w:rPr>
        <w:t xml:space="preserve"> EA approval</w:t>
      </w:r>
      <w:r w:rsidRPr="00C7372E">
        <w:rPr>
          <w:iCs/>
        </w:rPr>
        <w:t>. We consider that this will leave Transpower in a difficult position of being ham-strung in using its discretion and</w:t>
      </w:r>
      <w:r w:rsidR="00BD201B" w:rsidRPr="00C7372E">
        <w:rPr>
          <w:iCs/>
        </w:rPr>
        <w:t xml:space="preserve"> will have the effect of shifting the point of aggravation about TPM from </w:t>
      </w:r>
      <w:r w:rsidRPr="00C7372E">
        <w:rPr>
          <w:iCs/>
        </w:rPr>
        <w:t>the Authority</w:t>
      </w:r>
      <w:r w:rsidR="00BD201B" w:rsidRPr="00C7372E">
        <w:rPr>
          <w:iCs/>
        </w:rPr>
        <w:t xml:space="preserve"> to Transpower</w:t>
      </w:r>
      <w:r w:rsidRPr="00C7372E">
        <w:rPr>
          <w:iCs/>
        </w:rPr>
        <w:t>.</w:t>
      </w:r>
    </w:p>
    <w:p w14:paraId="7DDD57BB" w14:textId="4467F463" w:rsidR="00BF318D" w:rsidRDefault="00C7372E" w:rsidP="00C370E1">
      <w:pPr>
        <w:pStyle w:val="UnnumtextBodytext"/>
        <w:numPr>
          <w:ilvl w:val="0"/>
          <w:numId w:val="8"/>
        </w:numPr>
        <w:spacing w:before="240"/>
        <w:ind w:left="450" w:hanging="450"/>
        <w:rPr>
          <w:iCs/>
        </w:rPr>
      </w:pPr>
      <w:r w:rsidRPr="00C7372E">
        <w:rPr>
          <w:iCs/>
        </w:rPr>
        <w:t>These conditions</w:t>
      </w:r>
      <w:r w:rsidR="00BF318D" w:rsidRPr="00C7372E">
        <w:rPr>
          <w:iCs/>
        </w:rPr>
        <w:t xml:space="preserve"> also leave Transpower with considerable legal and commercial risks because they </w:t>
      </w:r>
      <w:proofErr w:type="gramStart"/>
      <w:r w:rsidR="00BF318D" w:rsidRPr="00C7372E">
        <w:rPr>
          <w:iCs/>
        </w:rPr>
        <w:t>have to</w:t>
      </w:r>
      <w:proofErr w:type="gramEnd"/>
      <w:r w:rsidR="00BF318D" w:rsidRPr="00C7372E">
        <w:rPr>
          <w:iCs/>
        </w:rPr>
        <w:t xml:space="preserve"> address the real-world issues</w:t>
      </w:r>
      <w:r w:rsidR="00CC0499">
        <w:rPr>
          <w:iCs/>
        </w:rPr>
        <w:t xml:space="preserve"> with network pricing</w:t>
      </w:r>
      <w:r w:rsidR="00BF318D" w:rsidRPr="00C7372E">
        <w:rPr>
          <w:iCs/>
        </w:rPr>
        <w:t xml:space="preserve"> rather than assume them away.</w:t>
      </w:r>
      <w:r w:rsidRPr="00C7372E">
        <w:rPr>
          <w:iCs/>
        </w:rPr>
        <w:t xml:space="preserve"> We note </w:t>
      </w:r>
      <w:r>
        <w:rPr>
          <w:iCs/>
        </w:rPr>
        <w:t xml:space="preserve">the </w:t>
      </w:r>
      <w:r w:rsidR="00BF318D" w:rsidRPr="00C7372E">
        <w:rPr>
          <w:iCs/>
        </w:rPr>
        <w:t xml:space="preserve">provisions in the TPM3 proposal whereby the Authority can direct Transpower to implement </w:t>
      </w:r>
      <w:proofErr w:type="gramStart"/>
      <w:r w:rsidR="00BF318D" w:rsidRPr="00C7372E">
        <w:rPr>
          <w:iCs/>
        </w:rPr>
        <w:t>particular components</w:t>
      </w:r>
      <w:proofErr w:type="gramEnd"/>
      <w:r w:rsidR="00BF318D" w:rsidRPr="00C7372E">
        <w:rPr>
          <w:iCs/>
        </w:rPr>
        <w:t xml:space="preserve"> or </w:t>
      </w:r>
      <w:r w:rsidR="00E662F1">
        <w:rPr>
          <w:iCs/>
        </w:rPr>
        <w:t xml:space="preserve">the Authority </w:t>
      </w:r>
      <w:r w:rsidR="00BF318D" w:rsidRPr="00C7372E">
        <w:rPr>
          <w:iCs/>
        </w:rPr>
        <w:t>can do so itself.</w:t>
      </w:r>
    </w:p>
    <w:p w14:paraId="6BA729EB" w14:textId="131EBEAE" w:rsidR="00C7372E" w:rsidRPr="00C7372E" w:rsidRDefault="00C7372E" w:rsidP="00C370E1">
      <w:pPr>
        <w:pStyle w:val="UnnumtextBodytext"/>
        <w:numPr>
          <w:ilvl w:val="0"/>
          <w:numId w:val="8"/>
        </w:numPr>
        <w:spacing w:before="240"/>
        <w:ind w:left="450" w:hanging="450"/>
        <w:rPr>
          <w:iCs/>
        </w:rPr>
      </w:pPr>
      <w:r>
        <w:rPr>
          <w:iCs/>
        </w:rPr>
        <w:t>Combined, these provisions</w:t>
      </w:r>
      <w:r w:rsidR="00E662F1">
        <w:rPr>
          <w:iCs/>
        </w:rPr>
        <w:t xml:space="preserve"> will likely result in protracted legal and commercial issues that will leave the TPM situation little different to that which currently prevails. </w:t>
      </w:r>
      <w:r w:rsidR="00475D1B">
        <w:rPr>
          <w:iCs/>
        </w:rPr>
        <w:t xml:space="preserve">Because </w:t>
      </w:r>
      <w:r w:rsidR="00475D1B">
        <w:t>Transpower must apply a lot of judgement when making cost allocation models work to calculate benefit-based charges, we consider that there must be high threshold for parties to challenge or otherwise delay the TPM implementation process.</w:t>
      </w:r>
    </w:p>
    <w:p w14:paraId="21C6DDA8" w14:textId="26016B4E" w:rsidR="00BD201B" w:rsidRDefault="00BD201B" w:rsidP="005E38EF">
      <w:pPr>
        <w:pStyle w:val="UnnumtextBodytext"/>
        <w:rPr>
          <w:rStyle w:val="Heading6Char"/>
          <w:rFonts w:asciiTheme="minorHAnsi" w:hAnsiTheme="minorHAnsi" w:cstheme="minorHAnsi"/>
          <w:color w:val="00B0F0"/>
          <w:sz w:val="24"/>
        </w:rPr>
      </w:pPr>
      <w:r>
        <w:rPr>
          <w:rStyle w:val="Heading6Char"/>
          <w:rFonts w:asciiTheme="minorHAnsi" w:hAnsiTheme="minorHAnsi" w:cstheme="minorHAnsi"/>
          <w:color w:val="00B0F0"/>
          <w:sz w:val="24"/>
        </w:rPr>
        <w:t>Implementation timing and process</w:t>
      </w:r>
    </w:p>
    <w:p w14:paraId="5593B6AB" w14:textId="4EC7B505" w:rsidR="00BD201B" w:rsidRDefault="00CC0499" w:rsidP="00B42000">
      <w:pPr>
        <w:pStyle w:val="UnnumtextBodytext"/>
        <w:numPr>
          <w:ilvl w:val="0"/>
          <w:numId w:val="8"/>
        </w:numPr>
        <w:spacing w:before="240"/>
        <w:ind w:left="450" w:hanging="450"/>
      </w:pPr>
      <w:r>
        <w:rPr>
          <w:iCs/>
        </w:rPr>
        <w:t xml:space="preserve">The </w:t>
      </w:r>
      <w:r w:rsidR="00B42000">
        <w:rPr>
          <w:iCs/>
        </w:rPr>
        <w:t xml:space="preserve">ENA also consider that </w:t>
      </w:r>
      <w:r w:rsidR="00BD201B" w:rsidRPr="00B42000">
        <w:rPr>
          <w:iCs/>
        </w:rPr>
        <w:t>T</w:t>
      </w:r>
      <w:r w:rsidR="00BF318D" w:rsidRPr="00B42000">
        <w:rPr>
          <w:iCs/>
        </w:rPr>
        <w:t>ranspower</w:t>
      </w:r>
      <w:r w:rsidR="00BD201B">
        <w:t xml:space="preserve"> is not being given a lot of time </w:t>
      </w:r>
      <w:r w:rsidR="00B42000">
        <w:t xml:space="preserve">within which it needs to develop and implement TPM3. Unchanged, the proposal </w:t>
      </w:r>
      <w:r w:rsidR="00A04197">
        <w:t>further</w:t>
      </w:r>
      <w:r w:rsidR="00BD201B">
        <w:t xml:space="preserve"> increases the risk that </w:t>
      </w:r>
      <w:r w:rsidR="00B42000">
        <w:t>Transpower</w:t>
      </w:r>
      <w:r w:rsidR="00BD201B">
        <w:t xml:space="preserve"> will get parts </w:t>
      </w:r>
      <w:r w:rsidR="00BD201B">
        <w:lastRenderedPageBreak/>
        <w:t xml:space="preserve">of </w:t>
      </w:r>
      <w:r w:rsidR="00B42000">
        <w:t>TPM3</w:t>
      </w:r>
      <w:r w:rsidR="00BD201B">
        <w:t xml:space="preserve"> </w:t>
      </w:r>
      <w:r w:rsidR="00B42000">
        <w:t>“</w:t>
      </w:r>
      <w:r w:rsidR="00BD201B">
        <w:t>wrong</w:t>
      </w:r>
      <w:r w:rsidR="00B42000">
        <w:t xml:space="preserve">” </w:t>
      </w:r>
      <w:r w:rsidR="00A04197">
        <w:t xml:space="preserve">- </w:t>
      </w:r>
      <w:r w:rsidR="00BD201B">
        <w:t>which means early aggravation</w:t>
      </w:r>
      <w:r w:rsidR="00864505">
        <w:t xml:space="preserve"> and increasing commercial and regulatory risk for both them and their customers.</w:t>
      </w:r>
    </w:p>
    <w:p w14:paraId="11799389" w14:textId="3E0806C2" w:rsidR="00514964" w:rsidRPr="003E7F38" w:rsidRDefault="005E38EF" w:rsidP="005E38EF">
      <w:pPr>
        <w:pStyle w:val="UnnumtextBodytext"/>
        <w:rPr>
          <w:rFonts w:cstheme="minorHAnsi"/>
          <w:sz w:val="24"/>
        </w:rPr>
      </w:pPr>
      <w:r w:rsidRPr="003E7F38">
        <w:rPr>
          <w:rStyle w:val="Heading6Char"/>
          <w:rFonts w:asciiTheme="minorHAnsi" w:hAnsiTheme="minorHAnsi" w:cstheme="minorHAnsi"/>
          <w:color w:val="00B0F0"/>
          <w:sz w:val="24"/>
        </w:rPr>
        <w:t xml:space="preserve">CBA </w:t>
      </w:r>
      <w:r w:rsidR="005C274B" w:rsidRPr="003E7F38">
        <w:rPr>
          <w:rStyle w:val="Heading6Char"/>
          <w:rFonts w:asciiTheme="minorHAnsi" w:hAnsiTheme="minorHAnsi" w:cstheme="minorHAnsi"/>
          <w:color w:val="00B0F0"/>
          <w:sz w:val="24"/>
        </w:rPr>
        <w:t>usefulness</w:t>
      </w:r>
    </w:p>
    <w:p w14:paraId="7F9EDA9E" w14:textId="67A59A9E" w:rsidR="00F4130A" w:rsidRDefault="00615473" w:rsidP="00514964">
      <w:pPr>
        <w:pStyle w:val="UnnumtextBodytext"/>
        <w:numPr>
          <w:ilvl w:val="0"/>
          <w:numId w:val="8"/>
        </w:numPr>
        <w:ind w:left="450" w:hanging="450"/>
        <w:rPr>
          <w:rFonts w:cstheme="minorHAnsi"/>
        </w:rPr>
      </w:pPr>
      <w:r w:rsidRPr="003E7F38">
        <w:rPr>
          <w:rFonts w:cstheme="minorHAnsi"/>
        </w:rPr>
        <w:t>The ENA</w:t>
      </w:r>
      <w:r w:rsidR="00475D1B">
        <w:rPr>
          <w:rFonts w:cstheme="minorHAnsi"/>
        </w:rPr>
        <w:t xml:space="preserve"> has an interest in the CBA because of the key issue of pass-through of transmission (and distribution) charges to consumers</w:t>
      </w:r>
      <w:r w:rsidR="00497962">
        <w:rPr>
          <w:rFonts w:cstheme="minorHAnsi"/>
        </w:rPr>
        <w:t xml:space="preserve">. </w:t>
      </w:r>
      <w:r w:rsidR="006C7322">
        <w:rPr>
          <w:rFonts w:cstheme="minorHAnsi"/>
        </w:rPr>
        <w:t xml:space="preserve">This will impact the durability of TPM3 as proposed. </w:t>
      </w:r>
      <w:r w:rsidR="00497962">
        <w:rPr>
          <w:rFonts w:cstheme="minorHAnsi"/>
        </w:rPr>
        <w:t>While the assumptions in the CBA may be applicable to direct connected customers, for anyone connected via a distributor, pass-through</w:t>
      </w:r>
      <w:r w:rsidR="003E2E5B">
        <w:rPr>
          <w:rFonts w:cstheme="minorHAnsi"/>
        </w:rPr>
        <w:t xml:space="preserve"> of transmission charges</w:t>
      </w:r>
      <w:r w:rsidR="00497962">
        <w:rPr>
          <w:rFonts w:cstheme="minorHAnsi"/>
        </w:rPr>
        <w:t xml:space="preserve"> is a key issue and is inhibited by the LFC</w:t>
      </w:r>
      <w:r w:rsidR="006C7322">
        <w:rPr>
          <w:rFonts w:cstheme="minorHAnsi"/>
        </w:rPr>
        <w:t xml:space="preserve"> as we describe above</w:t>
      </w:r>
      <w:r w:rsidR="00497962">
        <w:rPr>
          <w:rFonts w:cstheme="minorHAnsi"/>
        </w:rPr>
        <w:t xml:space="preserve">. We do not consider the CBA assumption that ignores pass-through </w:t>
      </w:r>
      <w:r w:rsidR="006C7322">
        <w:rPr>
          <w:rFonts w:cstheme="minorHAnsi"/>
        </w:rPr>
        <w:t>i</w:t>
      </w:r>
      <w:r w:rsidR="00497962">
        <w:rPr>
          <w:rFonts w:cstheme="minorHAnsi"/>
        </w:rPr>
        <w:t>s reasonable</w:t>
      </w:r>
      <w:r w:rsidR="006C7322">
        <w:rPr>
          <w:rFonts w:cstheme="minorHAnsi"/>
        </w:rPr>
        <w:t>,</w:t>
      </w:r>
      <w:r w:rsidR="00497962">
        <w:rPr>
          <w:rFonts w:cstheme="minorHAnsi"/>
        </w:rPr>
        <w:t xml:space="preserve"> because demand patterns of mass market customers are influenced by the presence of and nature of pass-through.</w:t>
      </w:r>
      <w:r w:rsidR="00A85D54" w:rsidRPr="003E7F38">
        <w:rPr>
          <w:rFonts w:cstheme="minorHAnsi"/>
        </w:rPr>
        <w:t xml:space="preserve"> </w:t>
      </w:r>
      <w:r w:rsidR="00497962">
        <w:rPr>
          <w:rFonts w:cstheme="minorHAnsi"/>
        </w:rPr>
        <w:t xml:space="preserve">In this regard we </w:t>
      </w:r>
      <w:r w:rsidR="00475D1B">
        <w:rPr>
          <w:rFonts w:cstheme="minorHAnsi"/>
        </w:rPr>
        <w:t xml:space="preserve">found the following chart enlightening, </w:t>
      </w:r>
      <w:r w:rsidR="00B42000">
        <w:rPr>
          <w:rFonts w:cstheme="minorHAnsi"/>
        </w:rPr>
        <w:t xml:space="preserve">(this </w:t>
      </w:r>
      <w:r w:rsidR="00497962">
        <w:rPr>
          <w:rFonts w:cstheme="minorHAnsi"/>
        </w:rPr>
        <w:t xml:space="preserve">chart </w:t>
      </w:r>
      <w:r w:rsidR="00B42000">
        <w:rPr>
          <w:rFonts w:cstheme="minorHAnsi"/>
        </w:rPr>
        <w:t xml:space="preserve">was not part of the published </w:t>
      </w:r>
      <w:r w:rsidR="00852BFB">
        <w:rPr>
          <w:rFonts w:cstheme="minorHAnsi"/>
        </w:rPr>
        <w:t xml:space="preserve">consultation </w:t>
      </w:r>
      <w:r w:rsidR="00B42000">
        <w:rPr>
          <w:rFonts w:cstheme="minorHAnsi"/>
        </w:rPr>
        <w:t>material).</w:t>
      </w:r>
    </w:p>
    <w:p w14:paraId="15C3C6B6" w14:textId="4A5B8C77" w:rsidR="00B42000" w:rsidRDefault="00BC2BD4" w:rsidP="00BC2BD4">
      <w:pPr>
        <w:pStyle w:val="UnnumtextBodytext"/>
        <w:ind w:firstLine="540"/>
        <w:rPr>
          <w:rFonts w:cstheme="minorHAnsi"/>
        </w:rPr>
      </w:pPr>
      <w:r>
        <w:rPr>
          <w:noProof/>
        </w:rPr>
        <w:drawing>
          <wp:inline distT="0" distB="0" distL="0" distR="0" wp14:anchorId="75D06A90" wp14:editId="184FF092">
            <wp:extent cx="4876956" cy="26133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15467" cy="2633984"/>
                    </a:xfrm>
                    <a:prstGeom prst="rect">
                      <a:avLst/>
                    </a:prstGeom>
                    <a:noFill/>
                    <a:ln>
                      <a:noFill/>
                    </a:ln>
                  </pic:spPr>
                </pic:pic>
              </a:graphicData>
            </a:graphic>
          </wp:inline>
        </w:drawing>
      </w:r>
    </w:p>
    <w:p w14:paraId="35287E7C" w14:textId="77777777" w:rsidR="008C63B3" w:rsidRDefault="008C63B3" w:rsidP="00BC2BD4">
      <w:pPr>
        <w:pStyle w:val="UnnumtextBodytext"/>
        <w:ind w:firstLine="540"/>
        <w:rPr>
          <w:rFonts w:cstheme="minorHAnsi"/>
        </w:rPr>
      </w:pPr>
    </w:p>
    <w:p w14:paraId="70094304" w14:textId="364B81C7" w:rsidR="00BC2BD4" w:rsidRDefault="00BC2BD4" w:rsidP="00514964">
      <w:pPr>
        <w:pStyle w:val="UnnumtextBodytext"/>
        <w:numPr>
          <w:ilvl w:val="0"/>
          <w:numId w:val="8"/>
        </w:numPr>
        <w:ind w:left="450" w:hanging="450"/>
        <w:rPr>
          <w:rFonts w:cstheme="minorHAnsi"/>
        </w:rPr>
      </w:pPr>
      <w:r>
        <w:rPr>
          <w:rFonts w:cstheme="minorHAnsi"/>
        </w:rPr>
        <w:t xml:space="preserve">Our </w:t>
      </w:r>
      <w:r w:rsidR="00BC5050">
        <w:rPr>
          <w:rFonts w:cstheme="minorHAnsi"/>
        </w:rPr>
        <w:t>interpretation</w:t>
      </w:r>
      <w:r>
        <w:rPr>
          <w:rFonts w:cstheme="minorHAnsi"/>
        </w:rPr>
        <w:t xml:space="preserve"> of this </w:t>
      </w:r>
      <w:r w:rsidR="00BC5050">
        <w:rPr>
          <w:rFonts w:cstheme="minorHAnsi"/>
        </w:rPr>
        <w:t>material is that the single source of benefit that tip</w:t>
      </w:r>
      <w:r w:rsidR="003E2E5B">
        <w:rPr>
          <w:rFonts w:cstheme="minorHAnsi"/>
        </w:rPr>
        <w:t>s</w:t>
      </w:r>
      <w:r w:rsidR="00BC5050">
        <w:rPr>
          <w:rFonts w:cstheme="minorHAnsi"/>
        </w:rPr>
        <w:t xml:space="preserve"> the CBA into </w:t>
      </w:r>
      <w:r w:rsidR="006C7322">
        <w:rPr>
          <w:rFonts w:cstheme="minorHAnsi"/>
        </w:rPr>
        <w:t xml:space="preserve">net </w:t>
      </w:r>
      <w:r w:rsidR="00BC5050">
        <w:rPr>
          <w:rFonts w:cstheme="minorHAnsi"/>
        </w:rPr>
        <w:t xml:space="preserve">positive territory is the assumed reduction in average nodal prices </w:t>
      </w:r>
      <w:r w:rsidR="003E2E5B">
        <w:rPr>
          <w:rFonts w:cstheme="minorHAnsi"/>
        </w:rPr>
        <w:t>(</w:t>
      </w:r>
      <w:r w:rsidR="00BC5050">
        <w:rPr>
          <w:rFonts w:cstheme="minorHAnsi"/>
        </w:rPr>
        <w:t>to $75</w:t>
      </w:r>
      <w:r w:rsidR="006C7322">
        <w:rPr>
          <w:rFonts w:cstheme="minorHAnsi"/>
        </w:rPr>
        <w:t>?</w:t>
      </w:r>
      <w:r w:rsidR="003E2E5B">
        <w:rPr>
          <w:rFonts w:cstheme="minorHAnsi"/>
        </w:rPr>
        <w:t>)</w:t>
      </w:r>
      <w:r w:rsidR="00BC5050">
        <w:rPr>
          <w:rFonts w:cstheme="minorHAnsi"/>
        </w:rPr>
        <w:t xml:space="preserve"> that is timed to take place in 2034 (the light blue block in the centre of the bars</w:t>
      </w:r>
      <w:r w:rsidR="003E2E5B">
        <w:rPr>
          <w:rFonts w:cstheme="minorHAnsi"/>
        </w:rPr>
        <w:t xml:space="preserve"> in the chart above</w:t>
      </w:r>
      <w:r w:rsidR="00BC5050">
        <w:rPr>
          <w:rFonts w:cstheme="minorHAnsi"/>
        </w:rPr>
        <w:t>). Outside of this assumption it looks to us like the benefits and costs more or less balance each other out over time</w:t>
      </w:r>
      <w:r w:rsidR="003E2E5B">
        <w:rPr>
          <w:rFonts w:cstheme="minorHAnsi"/>
        </w:rPr>
        <w:t xml:space="preserve">, if the CBA is to be believed (we observe that this price reduction is assumed to take place immediately following a substantial amount of generation investment – we suggest this assumption is not credible as it would hollow out the profitability of those generation investments which would not take place under these nodal price conditions) </w:t>
      </w:r>
      <w:r w:rsidR="00BC5050">
        <w:rPr>
          <w:rFonts w:cstheme="minorHAnsi"/>
        </w:rPr>
        <w:t>.</w:t>
      </w:r>
    </w:p>
    <w:p w14:paraId="7ED5B959" w14:textId="7FC0E09F" w:rsidR="003E2E5B" w:rsidRDefault="00864505" w:rsidP="004443C7">
      <w:pPr>
        <w:pStyle w:val="UnnumtextBodytext"/>
        <w:numPr>
          <w:ilvl w:val="0"/>
          <w:numId w:val="8"/>
        </w:numPr>
        <w:ind w:left="450" w:hanging="450"/>
        <w:rPr>
          <w:rFonts w:cstheme="minorHAnsi"/>
        </w:rPr>
      </w:pPr>
      <w:r w:rsidRPr="00BC5050">
        <w:rPr>
          <w:rFonts w:cstheme="minorHAnsi"/>
        </w:rPr>
        <w:t>We</w:t>
      </w:r>
      <w:r w:rsidR="003E2E5B">
        <w:rPr>
          <w:rFonts w:cstheme="minorHAnsi"/>
        </w:rPr>
        <w:t xml:space="preserve"> observe that </w:t>
      </w:r>
      <w:r w:rsidR="003E2E5B">
        <w:t xml:space="preserve">there are two stages to the price reductions that drive the bulk of the net benefits – in 2024, driven by the removal of RCPD and in 2034, based on a CBA assumption. The 2024 assumption is that peak interconnection charges drop away but off-peak increases (they </w:t>
      </w:r>
      <w:proofErr w:type="gramStart"/>
      <w:r w:rsidR="003E2E5B">
        <w:t xml:space="preserve">more or less </w:t>
      </w:r>
      <w:r w:rsidR="008C63B3">
        <w:t>offset</w:t>
      </w:r>
      <w:proofErr w:type="gramEnd"/>
      <w:r w:rsidR="003E2E5B">
        <w:t xml:space="preserve"> each other) while the 2034 episode is a nodal price reduction which deliver the substance of the consumer surplus.</w:t>
      </w:r>
      <w:r w:rsidRPr="00BC5050">
        <w:rPr>
          <w:rFonts w:cstheme="minorHAnsi"/>
        </w:rPr>
        <w:t xml:space="preserve"> </w:t>
      </w:r>
    </w:p>
    <w:p w14:paraId="0484872F" w14:textId="6721979C" w:rsidR="00BC5050" w:rsidRDefault="003E2E5B" w:rsidP="004443C7">
      <w:pPr>
        <w:pStyle w:val="UnnumtextBodytext"/>
        <w:numPr>
          <w:ilvl w:val="0"/>
          <w:numId w:val="8"/>
        </w:numPr>
        <w:ind w:left="450" w:hanging="450"/>
        <w:rPr>
          <w:rFonts w:cstheme="minorHAnsi"/>
        </w:rPr>
      </w:pPr>
      <w:r>
        <w:rPr>
          <w:rFonts w:cstheme="minorHAnsi"/>
        </w:rPr>
        <w:t xml:space="preserve">We </w:t>
      </w:r>
      <w:r w:rsidR="00864505" w:rsidRPr="00BC5050">
        <w:rPr>
          <w:rFonts w:cstheme="minorHAnsi"/>
        </w:rPr>
        <w:t xml:space="preserve">have undertaken some high-level checks on the </w:t>
      </w:r>
      <w:r w:rsidR="000E4C90" w:rsidRPr="00BC5050">
        <w:rPr>
          <w:rFonts w:cstheme="minorHAnsi"/>
        </w:rPr>
        <w:t>assumptions underlying the analysis of benefits</w:t>
      </w:r>
      <w:r w:rsidR="00864505" w:rsidRPr="00BC5050">
        <w:rPr>
          <w:rFonts w:cstheme="minorHAnsi"/>
        </w:rPr>
        <w:t xml:space="preserve"> which leave us questioning </w:t>
      </w:r>
      <w:r w:rsidR="000E4C90" w:rsidRPr="00BC5050">
        <w:rPr>
          <w:rFonts w:cstheme="minorHAnsi"/>
        </w:rPr>
        <w:t>whether the consumer benefits will be realised</w:t>
      </w:r>
      <w:r w:rsidR="00A04197" w:rsidRPr="00BC5050">
        <w:rPr>
          <w:rFonts w:cstheme="minorHAnsi"/>
        </w:rPr>
        <w:t xml:space="preserve"> at all</w:t>
      </w:r>
      <w:r w:rsidR="000E4C90" w:rsidRPr="00BC5050">
        <w:rPr>
          <w:rFonts w:cstheme="minorHAnsi"/>
        </w:rPr>
        <w:t xml:space="preserve">. </w:t>
      </w:r>
      <w:r w:rsidR="00D47830" w:rsidRPr="00BC5050">
        <w:rPr>
          <w:rFonts w:cstheme="minorHAnsi"/>
        </w:rPr>
        <w:t xml:space="preserve">For </w:t>
      </w:r>
      <w:r w:rsidR="00A51E7D">
        <w:rPr>
          <w:rFonts w:cstheme="minorHAnsi"/>
        </w:rPr>
        <w:t>the ENA</w:t>
      </w:r>
      <w:r w:rsidR="001F0F65" w:rsidRPr="00BC5050">
        <w:rPr>
          <w:rFonts w:cstheme="minorHAnsi"/>
        </w:rPr>
        <w:t>,</w:t>
      </w:r>
      <w:r w:rsidR="00D47830" w:rsidRPr="00BC5050">
        <w:rPr>
          <w:rFonts w:cstheme="minorHAnsi"/>
        </w:rPr>
        <w:t xml:space="preserve"> the Authority ha</w:t>
      </w:r>
      <w:r w:rsidR="001F0F65" w:rsidRPr="00BC5050">
        <w:rPr>
          <w:rFonts w:cstheme="minorHAnsi"/>
        </w:rPr>
        <w:t>s</w:t>
      </w:r>
      <w:r w:rsidR="00D47830" w:rsidRPr="00BC5050">
        <w:rPr>
          <w:rFonts w:cstheme="minorHAnsi"/>
        </w:rPr>
        <w:t xml:space="preserve"> moved the</w:t>
      </w:r>
      <w:r w:rsidR="001F0F65" w:rsidRPr="00BC5050">
        <w:rPr>
          <w:rFonts w:cstheme="minorHAnsi"/>
        </w:rPr>
        <w:t xml:space="preserve"> goal posts somewhat – in the</w:t>
      </w:r>
      <w:r w:rsidR="007F6107" w:rsidRPr="00BC5050">
        <w:rPr>
          <w:rFonts w:cstheme="minorHAnsi"/>
        </w:rPr>
        <w:t xml:space="preserve"> CBA section of the</w:t>
      </w:r>
      <w:r w:rsidR="001F0F65" w:rsidRPr="00BC5050">
        <w:rPr>
          <w:rFonts w:cstheme="minorHAnsi"/>
        </w:rPr>
        <w:t xml:space="preserve"> 2017 Supplementary paper</w:t>
      </w:r>
      <w:r w:rsidR="00105A9E" w:rsidRPr="00BC5050">
        <w:rPr>
          <w:rFonts w:cstheme="minorHAnsi"/>
        </w:rPr>
        <w:t xml:space="preserve"> it was determined </w:t>
      </w:r>
      <w:r w:rsidR="00105A9E" w:rsidRPr="00BC5050">
        <w:rPr>
          <w:rFonts w:cstheme="minorHAnsi"/>
        </w:rPr>
        <w:lastRenderedPageBreak/>
        <w:t xml:space="preserve">(para 4.14) that the impact of TPM2 on consumer prices </w:t>
      </w:r>
      <w:r w:rsidR="007F6107" w:rsidRPr="00BC5050">
        <w:rPr>
          <w:rFonts w:cstheme="minorHAnsi"/>
        </w:rPr>
        <w:t>should be excluded from the assessment of benefits and</w:t>
      </w:r>
      <w:r w:rsidR="00105A9E" w:rsidRPr="00BC5050">
        <w:rPr>
          <w:rFonts w:cstheme="minorHAnsi"/>
        </w:rPr>
        <w:t xml:space="preserve"> regarded as wealth effects</w:t>
      </w:r>
      <w:r w:rsidR="008C63B3">
        <w:rPr>
          <w:rFonts w:cstheme="minorHAnsi"/>
        </w:rPr>
        <w:t>. The 2034 price reduction assumption</w:t>
      </w:r>
      <w:r w:rsidR="007F3CC5">
        <w:rPr>
          <w:rFonts w:cstheme="minorHAnsi"/>
        </w:rPr>
        <w:t xml:space="preserve"> in the CBA</w:t>
      </w:r>
      <w:r w:rsidR="008C63B3">
        <w:rPr>
          <w:rFonts w:cstheme="minorHAnsi"/>
        </w:rPr>
        <w:t xml:space="preserve"> gives rise to a direct transfer of existing wealth from generators to consumers for electricity that would have been consumed anyway (plus a small efficiency gain from increased consumption). We consider that the transfer should be excluded from the assessment of benefits.</w:t>
      </w:r>
    </w:p>
    <w:p w14:paraId="50C96EC8" w14:textId="6C591CD7" w:rsidR="005B6AA8" w:rsidRPr="00BC5050" w:rsidRDefault="00105A9E" w:rsidP="004443C7">
      <w:pPr>
        <w:pStyle w:val="UnnumtextBodytext"/>
        <w:numPr>
          <w:ilvl w:val="0"/>
          <w:numId w:val="8"/>
        </w:numPr>
        <w:ind w:left="450" w:hanging="450"/>
        <w:rPr>
          <w:rFonts w:cstheme="minorHAnsi"/>
        </w:rPr>
      </w:pPr>
      <w:r w:rsidRPr="00BC5050">
        <w:rPr>
          <w:rFonts w:cstheme="minorHAnsi"/>
        </w:rPr>
        <w:t xml:space="preserve">We </w:t>
      </w:r>
      <w:r w:rsidR="000F34A1">
        <w:rPr>
          <w:rFonts w:cstheme="minorHAnsi"/>
        </w:rPr>
        <w:t>are unsure about the reasons for the Authority to change its mind</w:t>
      </w:r>
      <w:r w:rsidRPr="00BC5050">
        <w:rPr>
          <w:rFonts w:cstheme="minorHAnsi"/>
        </w:rPr>
        <w:t xml:space="preserve"> </w:t>
      </w:r>
      <w:r w:rsidR="00EE6CC8" w:rsidRPr="00BC5050">
        <w:rPr>
          <w:rFonts w:cstheme="minorHAnsi"/>
        </w:rPr>
        <w:t>– that is</w:t>
      </w:r>
      <w:r w:rsidR="000F34A1">
        <w:rPr>
          <w:rFonts w:cstheme="minorHAnsi"/>
        </w:rPr>
        <w:t xml:space="preserve"> its</w:t>
      </w:r>
      <w:r w:rsidRPr="00BC5050">
        <w:rPr>
          <w:rFonts w:cstheme="minorHAnsi"/>
        </w:rPr>
        <w:t xml:space="preserve"> current belief that that the efficiency effects </w:t>
      </w:r>
      <w:r w:rsidR="00B726F4" w:rsidRPr="00BC5050">
        <w:rPr>
          <w:rFonts w:cstheme="minorHAnsi"/>
        </w:rPr>
        <w:t xml:space="preserve">from TPM3 </w:t>
      </w:r>
      <w:r w:rsidRPr="00BC5050">
        <w:rPr>
          <w:rFonts w:cstheme="minorHAnsi"/>
        </w:rPr>
        <w:t>can now be realised through nodal pricing.</w:t>
      </w:r>
      <w:r w:rsidR="00B726F4" w:rsidRPr="00BC5050">
        <w:rPr>
          <w:rFonts w:cstheme="minorHAnsi"/>
        </w:rPr>
        <w:t xml:space="preserve"> </w:t>
      </w:r>
      <w:r w:rsidR="00EE6CC8" w:rsidRPr="00BC5050">
        <w:rPr>
          <w:rFonts w:cstheme="minorHAnsi"/>
        </w:rPr>
        <w:t>In the 2016 CBA t</w:t>
      </w:r>
      <w:r w:rsidR="00B726F4" w:rsidRPr="00BC5050">
        <w:rPr>
          <w:rFonts w:cstheme="minorHAnsi"/>
        </w:rPr>
        <w:t>he</w:t>
      </w:r>
      <w:r w:rsidR="00EE6CC8" w:rsidRPr="00BC5050">
        <w:rPr>
          <w:rFonts w:cstheme="minorHAnsi"/>
        </w:rPr>
        <w:t xml:space="preserve"> major portion of</w:t>
      </w:r>
      <w:r w:rsidR="00B726F4" w:rsidRPr="00BC5050">
        <w:rPr>
          <w:rFonts w:cstheme="minorHAnsi"/>
        </w:rPr>
        <w:t xml:space="preserve"> net benefits of more than $200m </w:t>
      </w:r>
      <w:r w:rsidR="00EE6CC8" w:rsidRPr="00BC5050">
        <w:rPr>
          <w:rFonts w:cstheme="minorHAnsi"/>
        </w:rPr>
        <w:t xml:space="preserve">were </w:t>
      </w:r>
      <w:r w:rsidR="00B726F4" w:rsidRPr="00BC5050">
        <w:rPr>
          <w:rFonts w:cstheme="minorHAnsi"/>
        </w:rPr>
        <w:t>made up of improvements in allocative efficiency from reallocating HVDC to load</w:t>
      </w:r>
      <w:r w:rsidR="00EE6CC8" w:rsidRPr="00BC5050">
        <w:rPr>
          <w:rFonts w:cstheme="minorHAnsi"/>
        </w:rPr>
        <w:t>,</w:t>
      </w:r>
      <w:r w:rsidR="00B726F4" w:rsidRPr="00BC5050">
        <w:rPr>
          <w:rFonts w:cstheme="minorHAnsi"/>
        </w:rPr>
        <w:t xml:space="preserve"> and productive efficiency improvements from better generation and transmission investments decisions. Market derived dynamic efficiency improvements to consumers were not on the table</w:t>
      </w:r>
      <w:r w:rsidR="00EE6CC8" w:rsidRPr="00BC5050">
        <w:rPr>
          <w:rFonts w:cstheme="minorHAnsi"/>
        </w:rPr>
        <w:t xml:space="preserve"> at that time</w:t>
      </w:r>
      <w:r w:rsidR="00B726F4" w:rsidRPr="00BC5050">
        <w:rPr>
          <w:rFonts w:cstheme="minorHAnsi"/>
        </w:rPr>
        <w:t>.</w:t>
      </w:r>
    </w:p>
    <w:p w14:paraId="063232EA" w14:textId="2FB73DBD" w:rsidR="00405687" w:rsidRDefault="00405687" w:rsidP="00514964">
      <w:pPr>
        <w:pStyle w:val="UnnumtextBodytext"/>
        <w:numPr>
          <w:ilvl w:val="0"/>
          <w:numId w:val="8"/>
        </w:numPr>
        <w:ind w:left="450" w:hanging="450"/>
        <w:rPr>
          <w:rFonts w:cstheme="minorHAnsi"/>
        </w:rPr>
      </w:pPr>
      <w:r>
        <w:rPr>
          <w:rFonts w:cstheme="minorHAnsi"/>
        </w:rPr>
        <w:t xml:space="preserve">Starting in April 2020, EDBs are implementing a programme of reform to distribution pricing which will (initially) see time-of-use pricing more widely adopted </w:t>
      </w:r>
      <w:r w:rsidR="00AA3737">
        <w:rPr>
          <w:rFonts w:cstheme="minorHAnsi"/>
        </w:rPr>
        <w:t xml:space="preserve">with capacity and/or demand pricing options added later. Based on </w:t>
      </w:r>
      <w:r w:rsidR="00686464">
        <w:rPr>
          <w:rFonts w:cstheme="minorHAnsi"/>
        </w:rPr>
        <w:t xml:space="preserve">our </w:t>
      </w:r>
      <w:r w:rsidR="00AA3737">
        <w:rPr>
          <w:rFonts w:cstheme="minorHAnsi"/>
        </w:rPr>
        <w:t>analysis</w:t>
      </w:r>
      <w:r w:rsidR="00686464">
        <w:rPr>
          <w:rFonts w:cstheme="minorHAnsi"/>
        </w:rPr>
        <w:t xml:space="preserve"> of the impacts of pricing options our</w:t>
      </w:r>
      <w:r w:rsidR="00AA3737">
        <w:rPr>
          <w:rFonts w:cstheme="minorHAnsi"/>
        </w:rPr>
        <w:t xml:space="preserve"> estimates of the </w:t>
      </w:r>
      <w:proofErr w:type="spellStart"/>
      <w:r w:rsidR="00AA3737">
        <w:rPr>
          <w:rFonts w:cstheme="minorHAnsi"/>
        </w:rPr>
        <w:t>ToU</w:t>
      </w:r>
      <w:proofErr w:type="spellEnd"/>
      <w:r w:rsidR="00AA3737">
        <w:rPr>
          <w:rFonts w:cstheme="minorHAnsi"/>
        </w:rPr>
        <w:t xml:space="preserve"> pricing premium at peak averages 3.4c/kwh across EDBs</w:t>
      </w:r>
      <w:r w:rsidR="006C7322">
        <w:rPr>
          <w:rFonts w:cstheme="minorHAnsi"/>
        </w:rPr>
        <w:t>,</w:t>
      </w:r>
      <w:r w:rsidR="00AA3737">
        <w:rPr>
          <w:rFonts w:cstheme="minorHAnsi"/>
        </w:rPr>
        <w:t xml:space="preserve"> with a range </w:t>
      </w:r>
      <w:r w:rsidR="00A71131">
        <w:rPr>
          <w:rFonts w:cstheme="minorHAnsi"/>
        </w:rPr>
        <w:t>between</w:t>
      </w:r>
      <w:r w:rsidR="00AA3737">
        <w:rPr>
          <w:rFonts w:cstheme="minorHAnsi"/>
        </w:rPr>
        <w:t xml:space="preserve"> 1 to 11c/kwh. </w:t>
      </w:r>
      <w:r w:rsidR="002D3F08">
        <w:rPr>
          <w:rFonts w:cstheme="minorHAnsi"/>
        </w:rPr>
        <w:t>It is the ENA view that d</w:t>
      </w:r>
      <w:r w:rsidR="00686464">
        <w:rPr>
          <w:rFonts w:cstheme="minorHAnsi"/>
        </w:rPr>
        <w:t>istribution price changes</w:t>
      </w:r>
      <w:r w:rsidR="002D3F08">
        <w:rPr>
          <w:rFonts w:cstheme="minorHAnsi"/>
        </w:rPr>
        <w:t xml:space="preserve"> at these levels</w:t>
      </w:r>
      <w:r w:rsidR="00686464">
        <w:rPr>
          <w:rFonts w:cstheme="minorHAnsi"/>
        </w:rPr>
        <w:t xml:space="preserve"> </w:t>
      </w:r>
      <w:r w:rsidR="00AA3737">
        <w:rPr>
          <w:rFonts w:cstheme="minorHAnsi"/>
        </w:rPr>
        <w:t xml:space="preserve">will swamp </w:t>
      </w:r>
      <w:r w:rsidR="002D3F08">
        <w:rPr>
          <w:rFonts w:cstheme="minorHAnsi"/>
        </w:rPr>
        <w:t>any consumer benefits (we estimate these at a maximum</w:t>
      </w:r>
      <w:r w:rsidR="00AA3737">
        <w:rPr>
          <w:rFonts w:cstheme="minorHAnsi"/>
        </w:rPr>
        <w:t xml:space="preserve"> 0.5c</w:t>
      </w:r>
      <w:r w:rsidR="00A71131">
        <w:rPr>
          <w:rFonts w:cstheme="minorHAnsi"/>
        </w:rPr>
        <w:t xml:space="preserve">/kwh </w:t>
      </w:r>
      <w:r w:rsidR="00DB0759">
        <w:rPr>
          <w:rFonts w:cstheme="minorHAnsi"/>
        </w:rPr>
        <w:t xml:space="preserve">net </w:t>
      </w:r>
      <w:r w:rsidR="00A71131">
        <w:rPr>
          <w:rFonts w:cstheme="minorHAnsi"/>
        </w:rPr>
        <w:t>reduction</w:t>
      </w:r>
      <w:r w:rsidR="002D3F08">
        <w:rPr>
          <w:rFonts w:cstheme="minorHAnsi"/>
        </w:rPr>
        <w:t xml:space="preserve"> if the CBA is to be believed)</w:t>
      </w:r>
      <w:r w:rsidR="00AA3737">
        <w:rPr>
          <w:rFonts w:cstheme="minorHAnsi"/>
        </w:rPr>
        <w:t xml:space="preserve"> that </w:t>
      </w:r>
      <w:r w:rsidR="002D3F08">
        <w:rPr>
          <w:rFonts w:cstheme="minorHAnsi"/>
        </w:rPr>
        <w:t>are</w:t>
      </w:r>
      <w:r w:rsidR="005029BA">
        <w:rPr>
          <w:rFonts w:cstheme="minorHAnsi"/>
        </w:rPr>
        <w:t xml:space="preserve"> implicit in the </w:t>
      </w:r>
      <w:r w:rsidR="002D3F08">
        <w:rPr>
          <w:rFonts w:cstheme="minorHAnsi"/>
        </w:rPr>
        <w:t xml:space="preserve">TPM3 </w:t>
      </w:r>
      <w:r w:rsidR="005029BA">
        <w:rPr>
          <w:rFonts w:cstheme="minorHAnsi"/>
        </w:rPr>
        <w:t>CBA.</w:t>
      </w:r>
    </w:p>
    <w:p w14:paraId="3B523EEF" w14:textId="1D5A4A3B" w:rsidR="00AA3737" w:rsidRPr="003E7F38" w:rsidRDefault="000F34A1" w:rsidP="00514964">
      <w:pPr>
        <w:pStyle w:val="UnnumtextBodytext"/>
        <w:numPr>
          <w:ilvl w:val="0"/>
          <w:numId w:val="8"/>
        </w:numPr>
        <w:ind w:left="450" w:hanging="450"/>
        <w:rPr>
          <w:rFonts w:cstheme="minorHAnsi"/>
        </w:rPr>
      </w:pPr>
      <w:r>
        <w:rPr>
          <w:rFonts w:cstheme="minorHAnsi"/>
        </w:rPr>
        <w:t>Two other comments are worth recording – first, w</w:t>
      </w:r>
      <w:r w:rsidR="00BD67AE">
        <w:rPr>
          <w:rFonts w:cstheme="minorHAnsi"/>
        </w:rPr>
        <w:t>e also note that a</w:t>
      </w:r>
      <w:r w:rsidR="00AA3737">
        <w:rPr>
          <w:rFonts w:cstheme="minorHAnsi"/>
        </w:rPr>
        <w:t xml:space="preserve">nother price increase for consumers will come from the reallocation of $75m pa of transmission assets to generation via the </w:t>
      </w:r>
      <w:r w:rsidR="003C5EFA">
        <w:rPr>
          <w:rFonts w:cstheme="minorHAnsi"/>
        </w:rPr>
        <w:t>benefits-based</w:t>
      </w:r>
      <w:r w:rsidR="00AA3737">
        <w:rPr>
          <w:rFonts w:cstheme="minorHAnsi"/>
        </w:rPr>
        <w:t xml:space="preserve"> charge. This will</w:t>
      </w:r>
      <w:r w:rsidR="004572CF">
        <w:rPr>
          <w:rFonts w:cstheme="minorHAnsi"/>
        </w:rPr>
        <w:t xml:space="preserve"> undoubt</w:t>
      </w:r>
      <w:r w:rsidR="005A4E1F">
        <w:rPr>
          <w:rFonts w:cstheme="minorHAnsi"/>
        </w:rPr>
        <w:t>ed</w:t>
      </w:r>
      <w:r w:rsidR="004572CF">
        <w:rPr>
          <w:rFonts w:cstheme="minorHAnsi"/>
        </w:rPr>
        <w:t>ly</w:t>
      </w:r>
      <w:r w:rsidR="00AA3737">
        <w:rPr>
          <w:rFonts w:cstheme="minorHAnsi"/>
        </w:rPr>
        <w:t xml:space="preserve"> find its way into </w:t>
      </w:r>
      <w:r w:rsidR="005029BA">
        <w:rPr>
          <w:rFonts w:cstheme="minorHAnsi"/>
        </w:rPr>
        <w:t xml:space="preserve">peak </w:t>
      </w:r>
      <w:r w:rsidR="00AA3737">
        <w:rPr>
          <w:rFonts w:cstheme="minorHAnsi"/>
        </w:rPr>
        <w:t>nodal pricing, further diluting the CBA price reduction effects. It is entirely unclear whether consumers will even see a price effect from changes to TPM</w:t>
      </w:r>
      <w:r w:rsidR="004572CF">
        <w:rPr>
          <w:rFonts w:cstheme="minorHAnsi"/>
        </w:rPr>
        <w:t>3</w:t>
      </w:r>
      <w:r w:rsidR="00AA3737">
        <w:rPr>
          <w:rFonts w:cstheme="minorHAnsi"/>
        </w:rPr>
        <w:t xml:space="preserve"> </w:t>
      </w:r>
      <w:r w:rsidR="005040F5">
        <w:rPr>
          <w:rFonts w:cstheme="minorHAnsi"/>
        </w:rPr>
        <w:t>let alone whether they will respond</w:t>
      </w:r>
      <w:r w:rsidR="00A71131">
        <w:rPr>
          <w:rFonts w:cstheme="minorHAnsi"/>
        </w:rPr>
        <w:t xml:space="preserve"> by driving more peak consumption</w:t>
      </w:r>
      <w:r w:rsidR="005040F5">
        <w:rPr>
          <w:rFonts w:cstheme="minorHAnsi"/>
        </w:rPr>
        <w:t>.</w:t>
      </w:r>
      <w:r w:rsidR="00497962">
        <w:rPr>
          <w:rFonts w:cstheme="minorHAnsi"/>
        </w:rPr>
        <w:t xml:space="preserve"> </w:t>
      </w:r>
      <w:r>
        <w:rPr>
          <w:rFonts w:cstheme="minorHAnsi"/>
        </w:rPr>
        <w:t xml:space="preserve">Second, we </w:t>
      </w:r>
      <w:r w:rsidR="006C7322">
        <w:rPr>
          <w:rFonts w:cstheme="minorHAnsi"/>
        </w:rPr>
        <w:t>observe</w:t>
      </w:r>
      <w:r>
        <w:rPr>
          <w:rFonts w:cstheme="minorHAnsi"/>
        </w:rPr>
        <w:t xml:space="preserve"> that the costs to meet the increase in consumer demand following the removal of RCPD in 2024 are not included in the CBA. There will be real costs to generators and distribution networks to meet peak period demand growth, and likely Transpower as well.</w:t>
      </w:r>
    </w:p>
    <w:p w14:paraId="49A9FEAD" w14:textId="0A87399E" w:rsidR="00432726" w:rsidRPr="003E7F38" w:rsidRDefault="00432726" w:rsidP="007B3D52">
      <w:pPr>
        <w:pStyle w:val="11Heading"/>
        <w:ind w:hanging="780"/>
        <w:rPr>
          <w:rFonts w:asciiTheme="minorHAnsi" w:hAnsiTheme="minorHAnsi" w:cstheme="minorHAnsi"/>
        </w:rPr>
      </w:pPr>
      <w:bookmarkStart w:id="8" w:name="_Toc20839543"/>
      <w:r w:rsidRPr="003E7F38">
        <w:rPr>
          <w:rFonts w:asciiTheme="minorHAnsi" w:hAnsiTheme="minorHAnsi" w:cstheme="minorHAnsi"/>
        </w:rPr>
        <w:t>Conclu</w:t>
      </w:r>
      <w:r w:rsidR="002C0B7A" w:rsidRPr="003E7F38">
        <w:rPr>
          <w:rFonts w:asciiTheme="minorHAnsi" w:hAnsiTheme="minorHAnsi" w:cstheme="minorHAnsi"/>
        </w:rPr>
        <w:t>ding comments</w:t>
      </w:r>
      <w:bookmarkEnd w:id="8"/>
    </w:p>
    <w:p w14:paraId="65605E8E" w14:textId="6EAE4567" w:rsidR="00C25A97" w:rsidRDefault="00A51E7D" w:rsidP="00C25A97">
      <w:pPr>
        <w:pStyle w:val="UnnumtextBodytext"/>
        <w:numPr>
          <w:ilvl w:val="0"/>
          <w:numId w:val="8"/>
        </w:numPr>
        <w:ind w:left="450" w:hanging="450"/>
        <w:rPr>
          <w:rFonts w:cstheme="minorHAnsi"/>
          <w:szCs w:val="20"/>
        </w:rPr>
      </w:pPr>
      <w:r>
        <w:rPr>
          <w:rFonts w:cstheme="minorHAnsi"/>
          <w:szCs w:val="20"/>
        </w:rPr>
        <w:t>The ENA</w:t>
      </w:r>
      <w:r w:rsidR="00C73FE7" w:rsidRPr="003C5EFA">
        <w:rPr>
          <w:rFonts w:cstheme="minorHAnsi"/>
          <w:szCs w:val="20"/>
        </w:rPr>
        <w:t xml:space="preserve"> </w:t>
      </w:r>
      <w:r w:rsidR="005029BA">
        <w:rPr>
          <w:rFonts w:cstheme="minorHAnsi"/>
          <w:szCs w:val="20"/>
        </w:rPr>
        <w:t>consider</w:t>
      </w:r>
      <w:r>
        <w:rPr>
          <w:rFonts w:cstheme="minorHAnsi"/>
          <w:szCs w:val="20"/>
        </w:rPr>
        <w:t>s</w:t>
      </w:r>
      <w:r w:rsidR="005029BA">
        <w:rPr>
          <w:rFonts w:cstheme="minorHAnsi"/>
          <w:szCs w:val="20"/>
        </w:rPr>
        <w:t xml:space="preserve"> that</w:t>
      </w:r>
      <w:r w:rsidR="00C25A97" w:rsidRPr="003C5EFA">
        <w:rPr>
          <w:rFonts w:cstheme="minorHAnsi"/>
          <w:szCs w:val="20"/>
        </w:rPr>
        <w:t xml:space="preserve"> the </w:t>
      </w:r>
      <w:r w:rsidR="00945B9F" w:rsidRPr="003C5EFA">
        <w:rPr>
          <w:rFonts w:cstheme="minorHAnsi"/>
          <w:szCs w:val="20"/>
        </w:rPr>
        <w:t xml:space="preserve">process of </w:t>
      </w:r>
      <w:r w:rsidR="00C25A97" w:rsidRPr="003C5EFA">
        <w:rPr>
          <w:rFonts w:cstheme="minorHAnsi"/>
          <w:szCs w:val="20"/>
        </w:rPr>
        <w:t>TPM</w:t>
      </w:r>
      <w:r w:rsidR="00945B9F" w:rsidRPr="003C5EFA">
        <w:rPr>
          <w:rFonts w:cstheme="minorHAnsi"/>
          <w:szCs w:val="20"/>
        </w:rPr>
        <w:t xml:space="preserve"> change</w:t>
      </w:r>
      <w:r w:rsidR="0095461F" w:rsidRPr="003E7F38">
        <w:rPr>
          <w:rFonts w:cstheme="minorHAnsi"/>
          <w:szCs w:val="20"/>
        </w:rPr>
        <w:t xml:space="preserve"> </w:t>
      </w:r>
      <w:r w:rsidR="00C25A97" w:rsidRPr="003E7F38">
        <w:rPr>
          <w:rFonts w:cstheme="minorHAnsi"/>
          <w:szCs w:val="20"/>
        </w:rPr>
        <w:t xml:space="preserve">needs to be </w:t>
      </w:r>
      <w:proofErr w:type="gramStart"/>
      <w:r w:rsidR="00C25A97" w:rsidRPr="003E7F38">
        <w:rPr>
          <w:rFonts w:cstheme="minorHAnsi"/>
          <w:szCs w:val="20"/>
        </w:rPr>
        <w:t>brou</w:t>
      </w:r>
      <w:r w:rsidR="00945B9F" w:rsidRPr="003E7F38">
        <w:rPr>
          <w:rFonts w:cstheme="minorHAnsi"/>
          <w:szCs w:val="20"/>
        </w:rPr>
        <w:t>ght to a close</w:t>
      </w:r>
      <w:proofErr w:type="gramEnd"/>
      <w:r w:rsidR="00945B9F" w:rsidRPr="003E7F38">
        <w:rPr>
          <w:rFonts w:cstheme="minorHAnsi"/>
          <w:szCs w:val="20"/>
        </w:rPr>
        <w:t xml:space="preserve"> and Transpower</w:t>
      </w:r>
      <w:r w:rsidR="00C25A97" w:rsidRPr="003E7F38">
        <w:rPr>
          <w:rFonts w:cstheme="minorHAnsi"/>
          <w:szCs w:val="20"/>
        </w:rPr>
        <w:t xml:space="preserve"> </w:t>
      </w:r>
      <w:r w:rsidR="0095461F" w:rsidRPr="003E7F38">
        <w:rPr>
          <w:rFonts w:cstheme="minorHAnsi"/>
          <w:szCs w:val="20"/>
        </w:rPr>
        <w:t xml:space="preserve">be able to </w:t>
      </w:r>
      <w:r w:rsidR="00C25A97" w:rsidRPr="003E7F38">
        <w:rPr>
          <w:rFonts w:cstheme="minorHAnsi"/>
          <w:szCs w:val="20"/>
        </w:rPr>
        <w:t>get on with detailed design of the various elements</w:t>
      </w:r>
      <w:r w:rsidR="005029BA">
        <w:rPr>
          <w:rFonts w:cstheme="minorHAnsi"/>
          <w:szCs w:val="20"/>
        </w:rPr>
        <w:t xml:space="preserve">. As proposed, TPM3 is unlikely to allow Transpower to successfully undertake that task and deliver positive outcomes for grid users and consumers. There is simply too much wrong with </w:t>
      </w:r>
      <w:r w:rsidR="00154DF4">
        <w:rPr>
          <w:rFonts w:cstheme="minorHAnsi"/>
          <w:szCs w:val="20"/>
        </w:rPr>
        <w:t>TPM3 for it</w:t>
      </w:r>
      <w:r w:rsidR="005029BA">
        <w:rPr>
          <w:rFonts w:cstheme="minorHAnsi"/>
          <w:szCs w:val="20"/>
        </w:rPr>
        <w:t xml:space="preserve"> to be able to resolve the problems</w:t>
      </w:r>
      <w:r w:rsidR="000F34A1">
        <w:rPr>
          <w:rFonts w:cstheme="minorHAnsi"/>
          <w:szCs w:val="20"/>
        </w:rPr>
        <w:t xml:space="preserve"> that are agreed to exist</w:t>
      </w:r>
      <w:r w:rsidR="005029BA">
        <w:rPr>
          <w:rFonts w:cstheme="minorHAnsi"/>
          <w:szCs w:val="20"/>
        </w:rPr>
        <w:t xml:space="preserve"> with the</w:t>
      </w:r>
      <w:r w:rsidR="000F34A1">
        <w:rPr>
          <w:rFonts w:cstheme="minorHAnsi"/>
          <w:szCs w:val="20"/>
        </w:rPr>
        <w:t xml:space="preserve"> current</w:t>
      </w:r>
      <w:r w:rsidR="005029BA">
        <w:rPr>
          <w:rFonts w:cstheme="minorHAnsi"/>
          <w:szCs w:val="20"/>
        </w:rPr>
        <w:t xml:space="preserve"> allocation of Transpower’s costs.</w:t>
      </w:r>
    </w:p>
    <w:p w14:paraId="0F03FC01" w14:textId="0C60D57D" w:rsidR="000F34A1" w:rsidRDefault="000F34A1" w:rsidP="00C25A97">
      <w:pPr>
        <w:pStyle w:val="UnnumtextBodytext"/>
        <w:numPr>
          <w:ilvl w:val="0"/>
          <w:numId w:val="8"/>
        </w:numPr>
        <w:ind w:left="450" w:hanging="450"/>
        <w:rPr>
          <w:rFonts w:cstheme="minorHAnsi"/>
          <w:szCs w:val="20"/>
        </w:rPr>
      </w:pPr>
      <w:r>
        <w:rPr>
          <w:rFonts w:cstheme="minorHAnsi"/>
          <w:szCs w:val="20"/>
        </w:rPr>
        <w:t xml:space="preserve">We </w:t>
      </w:r>
      <w:r w:rsidR="008A708D">
        <w:rPr>
          <w:rFonts w:cstheme="minorHAnsi"/>
          <w:szCs w:val="20"/>
        </w:rPr>
        <w:t>consider that</w:t>
      </w:r>
      <w:r>
        <w:rPr>
          <w:rFonts w:cstheme="minorHAnsi"/>
          <w:szCs w:val="20"/>
        </w:rPr>
        <w:t xml:space="preserve"> the benefits </w:t>
      </w:r>
      <w:r w:rsidR="008A708D">
        <w:rPr>
          <w:rFonts w:cstheme="minorHAnsi"/>
          <w:szCs w:val="20"/>
        </w:rPr>
        <w:t>that the Authority believes will flow from the proposal cannot be realised and that there is a real likelihood that there will be net costs to the New Zealand economy and a loss of efficiency within the electricity industry.</w:t>
      </w:r>
    </w:p>
    <w:p w14:paraId="2FA060D7" w14:textId="2CAF547B" w:rsidR="005029BA" w:rsidRDefault="005029BA" w:rsidP="00C25A97">
      <w:pPr>
        <w:pStyle w:val="UnnumtextBodytext"/>
        <w:numPr>
          <w:ilvl w:val="0"/>
          <w:numId w:val="8"/>
        </w:numPr>
        <w:ind w:left="450" w:hanging="450"/>
        <w:rPr>
          <w:rFonts w:cstheme="minorHAnsi"/>
          <w:szCs w:val="20"/>
        </w:rPr>
      </w:pPr>
      <w:r>
        <w:rPr>
          <w:rFonts w:cstheme="minorHAnsi"/>
          <w:szCs w:val="20"/>
        </w:rPr>
        <w:t xml:space="preserve">We </w:t>
      </w:r>
      <w:r w:rsidR="000F34A1">
        <w:rPr>
          <w:rFonts w:cstheme="minorHAnsi"/>
          <w:szCs w:val="20"/>
        </w:rPr>
        <w:t xml:space="preserve">encourage the Authority to </w:t>
      </w:r>
      <w:r w:rsidR="00F87C0D">
        <w:rPr>
          <w:rFonts w:cstheme="minorHAnsi"/>
          <w:szCs w:val="20"/>
        </w:rPr>
        <w:t xml:space="preserve">allow Transpower to develop its own improvements to the current TPM components that are guided by the </w:t>
      </w:r>
      <w:r w:rsidR="00A425BB">
        <w:rPr>
          <w:rFonts w:cstheme="minorHAnsi"/>
          <w:szCs w:val="20"/>
        </w:rPr>
        <w:t>“</w:t>
      </w:r>
      <w:r w:rsidR="00F87C0D">
        <w:rPr>
          <w:rFonts w:cstheme="minorHAnsi"/>
          <w:szCs w:val="20"/>
        </w:rPr>
        <w:t>rules</w:t>
      </w:r>
      <w:r w:rsidR="00A425BB">
        <w:rPr>
          <w:rFonts w:cstheme="minorHAnsi"/>
          <w:szCs w:val="20"/>
        </w:rPr>
        <w:t>”</w:t>
      </w:r>
      <w:r w:rsidR="00F87C0D">
        <w:rPr>
          <w:rFonts w:cstheme="minorHAnsi"/>
          <w:szCs w:val="20"/>
        </w:rPr>
        <w:t xml:space="preserve"> of the type we propose in this submission. </w:t>
      </w:r>
    </w:p>
    <w:p w14:paraId="6EF54936" w14:textId="4E6D6573" w:rsidR="005E38EF" w:rsidRPr="003E7F38" w:rsidRDefault="005E38EF" w:rsidP="007B3D52">
      <w:pPr>
        <w:pStyle w:val="1Heading"/>
        <w:tabs>
          <w:tab w:val="clear" w:pos="851"/>
        </w:tabs>
        <w:ind w:hanging="720"/>
        <w:rPr>
          <w:rFonts w:asciiTheme="minorHAnsi" w:hAnsiTheme="minorHAnsi" w:cstheme="minorHAnsi"/>
        </w:rPr>
      </w:pPr>
      <w:bookmarkStart w:id="9" w:name="_Toc448504242"/>
      <w:bookmarkStart w:id="10" w:name="_Toc448504243"/>
      <w:bookmarkStart w:id="11" w:name="_Toc448504244"/>
      <w:bookmarkStart w:id="12" w:name="_Toc20839544"/>
      <w:bookmarkEnd w:id="9"/>
      <w:bookmarkEnd w:id="10"/>
      <w:bookmarkEnd w:id="11"/>
      <w:r w:rsidRPr="003E7F38">
        <w:rPr>
          <w:rFonts w:asciiTheme="minorHAnsi" w:hAnsiTheme="minorHAnsi" w:cstheme="minorHAnsi"/>
        </w:rPr>
        <w:lastRenderedPageBreak/>
        <w:t>Append</w:t>
      </w:r>
      <w:bookmarkStart w:id="13" w:name="_GoBack"/>
      <w:bookmarkEnd w:id="13"/>
      <w:r w:rsidRPr="003E7F38">
        <w:rPr>
          <w:rFonts w:asciiTheme="minorHAnsi" w:hAnsiTheme="minorHAnsi" w:cstheme="minorHAnsi"/>
        </w:rPr>
        <w:t>ix</w:t>
      </w:r>
      <w:r w:rsidR="009A5877">
        <w:rPr>
          <w:rFonts w:asciiTheme="minorHAnsi" w:hAnsiTheme="minorHAnsi" w:cstheme="minorHAnsi"/>
        </w:rPr>
        <w:t xml:space="preserve"> 1</w:t>
      </w:r>
      <w:bookmarkEnd w:id="12"/>
    </w:p>
    <w:p w14:paraId="53067E2C" w14:textId="77777777" w:rsidR="005E38EF" w:rsidRPr="003E7F38" w:rsidRDefault="005E38EF" w:rsidP="005E38EF">
      <w:pPr>
        <w:pStyle w:val="UnnumtextBodytext"/>
        <w:spacing w:line="240" w:lineRule="auto"/>
        <w:rPr>
          <w:rFonts w:eastAsia="SimSun" w:cstheme="minorHAnsi"/>
          <w:szCs w:val="20"/>
        </w:rPr>
      </w:pPr>
      <w:r w:rsidRPr="003E7F38">
        <w:rPr>
          <w:rFonts w:eastAsia="SimSun" w:cstheme="minorHAnsi"/>
          <w:szCs w:val="20"/>
        </w:rPr>
        <w:t>The Electricity Networks Association makes this submission along with the explicit support of its members, listed below.</w:t>
      </w:r>
    </w:p>
    <w:p w14:paraId="3B234B01" w14:textId="77777777" w:rsidR="005E38EF" w:rsidRPr="003E7F38" w:rsidRDefault="005E38EF" w:rsidP="005E38EF">
      <w:pPr>
        <w:pStyle w:val="UnnumtextBodytext"/>
        <w:spacing w:line="240" w:lineRule="auto"/>
        <w:rPr>
          <w:rFonts w:eastAsia="SimSun" w:cstheme="minorHAnsi"/>
          <w:szCs w:val="20"/>
        </w:rPr>
      </w:pPr>
    </w:p>
    <w:p w14:paraId="54014A37" w14:textId="77777777" w:rsidR="005E38EF" w:rsidRPr="003E7F38" w:rsidRDefault="005E38EF" w:rsidP="005E38EF">
      <w:pPr>
        <w:pStyle w:val="UnnumtextBodytext"/>
        <w:numPr>
          <w:ilvl w:val="0"/>
          <w:numId w:val="3"/>
        </w:numPr>
        <w:spacing w:line="240" w:lineRule="auto"/>
        <w:rPr>
          <w:rFonts w:eastAsia="Times New Roman" w:cstheme="minorHAnsi"/>
          <w:sz w:val="22"/>
        </w:rPr>
      </w:pPr>
      <w:r w:rsidRPr="003E7F38">
        <w:rPr>
          <w:rFonts w:cstheme="minorHAnsi"/>
        </w:rPr>
        <w:t xml:space="preserve">Alpine Energy </w:t>
      </w:r>
    </w:p>
    <w:p w14:paraId="50890C8D" w14:textId="77777777" w:rsidR="005E38EF" w:rsidRPr="003E7F38" w:rsidRDefault="005E38EF" w:rsidP="005E38EF">
      <w:pPr>
        <w:pStyle w:val="UnnumtextBodytext"/>
        <w:numPr>
          <w:ilvl w:val="0"/>
          <w:numId w:val="3"/>
        </w:numPr>
        <w:spacing w:line="240" w:lineRule="auto"/>
        <w:rPr>
          <w:rFonts w:cstheme="minorHAnsi"/>
        </w:rPr>
      </w:pPr>
      <w:r w:rsidRPr="003E7F38">
        <w:rPr>
          <w:rFonts w:cstheme="minorHAnsi"/>
        </w:rPr>
        <w:t xml:space="preserve">Aurora Energy </w:t>
      </w:r>
    </w:p>
    <w:p w14:paraId="34B35EA1" w14:textId="77777777" w:rsidR="005E38EF" w:rsidRPr="003E7F38" w:rsidRDefault="005E38EF" w:rsidP="005E38EF">
      <w:pPr>
        <w:pStyle w:val="UnnumtextBodytext"/>
        <w:numPr>
          <w:ilvl w:val="0"/>
          <w:numId w:val="3"/>
        </w:numPr>
        <w:spacing w:line="240" w:lineRule="auto"/>
        <w:rPr>
          <w:rFonts w:cstheme="minorHAnsi"/>
        </w:rPr>
      </w:pPr>
      <w:r w:rsidRPr="003E7F38">
        <w:rPr>
          <w:rFonts w:cstheme="minorHAnsi"/>
        </w:rPr>
        <w:t xml:space="preserve">Buller Electricity </w:t>
      </w:r>
    </w:p>
    <w:p w14:paraId="6042256C" w14:textId="68CF6ACA" w:rsidR="005E38EF" w:rsidRPr="003E7F38" w:rsidRDefault="005E38EF" w:rsidP="005E38EF">
      <w:pPr>
        <w:pStyle w:val="UnnumtextBodytext"/>
        <w:numPr>
          <w:ilvl w:val="0"/>
          <w:numId w:val="3"/>
        </w:numPr>
        <w:spacing w:line="240" w:lineRule="auto"/>
        <w:rPr>
          <w:rFonts w:cstheme="minorHAnsi"/>
        </w:rPr>
      </w:pPr>
      <w:r w:rsidRPr="003E7F38">
        <w:rPr>
          <w:rFonts w:cstheme="minorHAnsi"/>
        </w:rPr>
        <w:t xml:space="preserve">Counties Power </w:t>
      </w:r>
      <w:r w:rsidR="001309D3" w:rsidRPr="003E7F38">
        <w:rPr>
          <w:rFonts w:cstheme="minorHAnsi"/>
        </w:rPr>
        <w:t>(mostly supports)</w:t>
      </w:r>
    </w:p>
    <w:p w14:paraId="64A27F64" w14:textId="77777777" w:rsidR="005E38EF" w:rsidRPr="003E7F38" w:rsidRDefault="005E38EF" w:rsidP="005E38EF">
      <w:pPr>
        <w:pStyle w:val="UnnumtextBodytext"/>
        <w:numPr>
          <w:ilvl w:val="0"/>
          <w:numId w:val="3"/>
        </w:numPr>
        <w:spacing w:line="240" w:lineRule="auto"/>
        <w:rPr>
          <w:rFonts w:cstheme="minorHAnsi"/>
        </w:rPr>
      </w:pPr>
      <w:r w:rsidRPr="003E7F38">
        <w:rPr>
          <w:rFonts w:cstheme="minorHAnsi"/>
        </w:rPr>
        <w:t xml:space="preserve">Eastland Network </w:t>
      </w:r>
    </w:p>
    <w:p w14:paraId="48FE1364" w14:textId="77777777" w:rsidR="005E38EF" w:rsidRPr="003E7F38" w:rsidRDefault="005E38EF" w:rsidP="005E38EF">
      <w:pPr>
        <w:pStyle w:val="UnnumtextBodytext"/>
        <w:numPr>
          <w:ilvl w:val="0"/>
          <w:numId w:val="3"/>
        </w:numPr>
        <w:spacing w:line="240" w:lineRule="auto"/>
        <w:rPr>
          <w:rFonts w:cstheme="minorHAnsi"/>
        </w:rPr>
      </w:pPr>
      <w:r w:rsidRPr="003E7F38">
        <w:rPr>
          <w:rFonts w:cstheme="minorHAnsi"/>
        </w:rPr>
        <w:t xml:space="preserve">Electra </w:t>
      </w:r>
    </w:p>
    <w:p w14:paraId="563ACB07" w14:textId="77777777" w:rsidR="005E38EF" w:rsidRPr="003E7F38" w:rsidRDefault="005E38EF" w:rsidP="005E38EF">
      <w:pPr>
        <w:pStyle w:val="UnnumtextBodytext"/>
        <w:numPr>
          <w:ilvl w:val="0"/>
          <w:numId w:val="3"/>
        </w:numPr>
        <w:spacing w:line="240" w:lineRule="auto"/>
        <w:rPr>
          <w:rFonts w:cstheme="minorHAnsi"/>
        </w:rPr>
      </w:pPr>
      <w:r w:rsidRPr="003E7F38">
        <w:rPr>
          <w:rFonts w:cstheme="minorHAnsi"/>
        </w:rPr>
        <w:t xml:space="preserve">EA Networks </w:t>
      </w:r>
    </w:p>
    <w:p w14:paraId="288BB45F" w14:textId="77777777" w:rsidR="005E38EF" w:rsidRPr="003E7F38" w:rsidRDefault="005E38EF" w:rsidP="005E38EF">
      <w:pPr>
        <w:pStyle w:val="UnnumtextBodytext"/>
        <w:numPr>
          <w:ilvl w:val="0"/>
          <w:numId w:val="3"/>
        </w:numPr>
        <w:spacing w:line="240" w:lineRule="auto"/>
        <w:rPr>
          <w:rFonts w:cstheme="minorHAnsi"/>
        </w:rPr>
      </w:pPr>
      <w:r w:rsidRPr="003E7F38">
        <w:rPr>
          <w:rFonts w:cstheme="minorHAnsi"/>
        </w:rPr>
        <w:t xml:space="preserve">Horizon Energy Distribution </w:t>
      </w:r>
    </w:p>
    <w:p w14:paraId="12935869" w14:textId="77777777" w:rsidR="005E38EF" w:rsidRPr="003E7F38" w:rsidRDefault="005E38EF" w:rsidP="005E38EF">
      <w:pPr>
        <w:pStyle w:val="UnnumtextBodytext"/>
        <w:numPr>
          <w:ilvl w:val="0"/>
          <w:numId w:val="3"/>
        </w:numPr>
        <w:spacing w:line="240" w:lineRule="auto"/>
        <w:rPr>
          <w:rFonts w:cstheme="minorHAnsi"/>
        </w:rPr>
      </w:pPr>
      <w:proofErr w:type="spellStart"/>
      <w:r w:rsidRPr="003E7F38">
        <w:rPr>
          <w:rFonts w:cstheme="minorHAnsi"/>
        </w:rPr>
        <w:t>Mainpower</w:t>
      </w:r>
      <w:proofErr w:type="spellEnd"/>
      <w:r w:rsidRPr="003E7F38">
        <w:rPr>
          <w:rFonts w:cstheme="minorHAnsi"/>
        </w:rPr>
        <w:t xml:space="preserve"> NZ </w:t>
      </w:r>
    </w:p>
    <w:p w14:paraId="39B37AF4" w14:textId="77777777" w:rsidR="005E38EF" w:rsidRPr="003E7F38" w:rsidRDefault="005E38EF" w:rsidP="005E38EF">
      <w:pPr>
        <w:pStyle w:val="UnnumtextBodytext"/>
        <w:numPr>
          <w:ilvl w:val="0"/>
          <w:numId w:val="3"/>
        </w:numPr>
        <w:spacing w:line="240" w:lineRule="auto"/>
        <w:rPr>
          <w:rFonts w:cstheme="minorHAnsi"/>
        </w:rPr>
      </w:pPr>
      <w:r w:rsidRPr="003E7F38">
        <w:rPr>
          <w:rFonts w:cstheme="minorHAnsi"/>
        </w:rPr>
        <w:t xml:space="preserve">Marlborough Lines </w:t>
      </w:r>
    </w:p>
    <w:p w14:paraId="3580AF12" w14:textId="77777777" w:rsidR="005E38EF" w:rsidRPr="003E7F38" w:rsidRDefault="005E38EF" w:rsidP="005E38EF">
      <w:pPr>
        <w:pStyle w:val="UnnumtextBodytext"/>
        <w:numPr>
          <w:ilvl w:val="0"/>
          <w:numId w:val="3"/>
        </w:numPr>
        <w:spacing w:line="240" w:lineRule="auto"/>
        <w:rPr>
          <w:rFonts w:cstheme="minorHAnsi"/>
        </w:rPr>
      </w:pPr>
      <w:r w:rsidRPr="003E7F38">
        <w:rPr>
          <w:rFonts w:cstheme="minorHAnsi"/>
        </w:rPr>
        <w:t xml:space="preserve">Nelson Electricity </w:t>
      </w:r>
    </w:p>
    <w:p w14:paraId="24C90382" w14:textId="77777777" w:rsidR="005E38EF" w:rsidRPr="003E7F38" w:rsidRDefault="005E38EF" w:rsidP="005E38EF">
      <w:pPr>
        <w:pStyle w:val="UnnumtextBodytext"/>
        <w:numPr>
          <w:ilvl w:val="0"/>
          <w:numId w:val="3"/>
        </w:numPr>
        <w:spacing w:line="240" w:lineRule="auto"/>
        <w:rPr>
          <w:rFonts w:cstheme="minorHAnsi"/>
        </w:rPr>
      </w:pPr>
      <w:r w:rsidRPr="003E7F38">
        <w:rPr>
          <w:rFonts w:cstheme="minorHAnsi"/>
        </w:rPr>
        <w:t xml:space="preserve">Network Tasman </w:t>
      </w:r>
    </w:p>
    <w:p w14:paraId="4E984E05" w14:textId="77777777" w:rsidR="005E38EF" w:rsidRPr="003E7F38" w:rsidRDefault="005E38EF" w:rsidP="005E38EF">
      <w:pPr>
        <w:pStyle w:val="UnnumtextBodytext"/>
        <w:numPr>
          <w:ilvl w:val="0"/>
          <w:numId w:val="3"/>
        </w:numPr>
        <w:spacing w:line="240" w:lineRule="auto"/>
        <w:rPr>
          <w:rFonts w:cstheme="minorHAnsi"/>
        </w:rPr>
      </w:pPr>
      <w:r w:rsidRPr="003E7F38">
        <w:rPr>
          <w:rFonts w:cstheme="minorHAnsi"/>
        </w:rPr>
        <w:t xml:space="preserve">Network Waitaki </w:t>
      </w:r>
    </w:p>
    <w:p w14:paraId="43F5EDB5" w14:textId="77777777" w:rsidR="005E38EF" w:rsidRPr="003E7F38" w:rsidRDefault="005E38EF" w:rsidP="005E38EF">
      <w:pPr>
        <w:pStyle w:val="UnnumtextBodytext"/>
        <w:numPr>
          <w:ilvl w:val="0"/>
          <w:numId w:val="3"/>
        </w:numPr>
        <w:spacing w:line="240" w:lineRule="auto"/>
        <w:rPr>
          <w:rFonts w:cstheme="minorHAnsi"/>
        </w:rPr>
      </w:pPr>
      <w:proofErr w:type="spellStart"/>
      <w:r w:rsidRPr="003E7F38">
        <w:rPr>
          <w:rFonts w:cstheme="minorHAnsi"/>
        </w:rPr>
        <w:t>Northpower</w:t>
      </w:r>
      <w:proofErr w:type="spellEnd"/>
      <w:r w:rsidRPr="003E7F38">
        <w:rPr>
          <w:rFonts w:cstheme="minorHAnsi"/>
        </w:rPr>
        <w:t xml:space="preserve"> </w:t>
      </w:r>
    </w:p>
    <w:p w14:paraId="4CAD1511" w14:textId="77777777" w:rsidR="005E38EF" w:rsidRPr="003E7F38" w:rsidRDefault="005E38EF" w:rsidP="005E38EF">
      <w:pPr>
        <w:pStyle w:val="UnnumtextBodytext"/>
        <w:numPr>
          <w:ilvl w:val="0"/>
          <w:numId w:val="3"/>
        </w:numPr>
        <w:spacing w:line="240" w:lineRule="auto"/>
        <w:rPr>
          <w:rFonts w:cstheme="minorHAnsi"/>
        </w:rPr>
      </w:pPr>
      <w:r w:rsidRPr="003E7F38">
        <w:rPr>
          <w:rFonts w:cstheme="minorHAnsi"/>
        </w:rPr>
        <w:t xml:space="preserve">Orion New Zealand </w:t>
      </w:r>
    </w:p>
    <w:p w14:paraId="270DFEA0" w14:textId="77777777" w:rsidR="005E38EF" w:rsidRPr="003E7F38" w:rsidRDefault="005E38EF" w:rsidP="005E38EF">
      <w:pPr>
        <w:pStyle w:val="UnnumtextBodytext"/>
        <w:numPr>
          <w:ilvl w:val="0"/>
          <w:numId w:val="3"/>
        </w:numPr>
        <w:spacing w:line="240" w:lineRule="auto"/>
        <w:rPr>
          <w:rFonts w:cstheme="minorHAnsi"/>
        </w:rPr>
      </w:pPr>
      <w:r w:rsidRPr="003E7F38">
        <w:rPr>
          <w:rFonts w:cstheme="minorHAnsi"/>
        </w:rPr>
        <w:t xml:space="preserve">Powerco </w:t>
      </w:r>
    </w:p>
    <w:p w14:paraId="5EEE049C" w14:textId="77777777" w:rsidR="005E38EF" w:rsidRPr="003E7F38" w:rsidRDefault="005E38EF" w:rsidP="005E38EF">
      <w:pPr>
        <w:pStyle w:val="UnnumtextBodytext"/>
        <w:numPr>
          <w:ilvl w:val="0"/>
          <w:numId w:val="3"/>
        </w:numPr>
        <w:spacing w:line="240" w:lineRule="auto"/>
        <w:rPr>
          <w:rFonts w:cstheme="minorHAnsi"/>
        </w:rPr>
      </w:pPr>
      <w:proofErr w:type="spellStart"/>
      <w:r w:rsidRPr="003E7F38">
        <w:rPr>
          <w:rFonts w:cstheme="minorHAnsi"/>
        </w:rPr>
        <w:t>PowerNet</w:t>
      </w:r>
      <w:proofErr w:type="spellEnd"/>
      <w:r w:rsidRPr="003E7F38">
        <w:rPr>
          <w:rFonts w:cstheme="minorHAnsi"/>
        </w:rPr>
        <w:t xml:space="preserve"> </w:t>
      </w:r>
    </w:p>
    <w:p w14:paraId="6C33AF42" w14:textId="77777777" w:rsidR="005E38EF" w:rsidRPr="003E7F38" w:rsidRDefault="005E38EF" w:rsidP="005E38EF">
      <w:pPr>
        <w:pStyle w:val="UnnumtextBodytext"/>
        <w:numPr>
          <w:ilvl w:val="0"/>
          <w:numId w:val="3"/>
        </w:numPr>
        <w:spacing w:line="240" w:lineRule="auto"/>
        <w:rPr>
          <w:rFonts w:cstheme="minorHAnsi"/>
        </w:rPr>
      </w:pPr>
      <w:proofErr w:type="spellStart"/>
      <w:r w:rsidRPr="003E7F38">
        <w:rPr>
          <w:rFonts w:cstheme="minorHAnsi"/>
        </w:rPr>
        <w:t>Scanpower</w:t>
      </w:r>
      <w:proofErr w:type="spellEnd"/>
      <w:r w:rsidRPr="003E7F38">
        <w:rPr>
          <w:rFonts w:cstheme="minorHAnsi"/>
        </w:rPr>
        <w:t xml:space="preserve"> </w:t>
      </w:r>
    </w:p>
    <w:p w14:paraId="15D767F9" w14:textId="77777777" w:rsidR="005E38EF" w:rsidRPr="003E7F38" w:rsidRDefault="005E38EF" w:rsidP="005E38EF">
      <w:pPr>
        <w:pStyle w:val="UnnumtextBodytext"/>
        <w:numPr>
          <w:ilvl w:val="0"/>
          <w:numId w:val="3"/>
        </w:numPr>
        <w:spacing w:line="240" w:lineRule="auto"/>
        <w:rPr>
          <w:rFonts w:cstheme="minorHAnsi"/>
        </w:rPr>
      </w:pPr>
      <w:r w:rsidRPr="003E7F38">
        <w:rPr>
          <w:rFonts w:cstheme="minorHAnsi"/>
        </w:rPr>
        <w:t xml:space="preserve">The Lines Company </w:t>
      </w:r>
    </w:p>
    <w:p w14:paraId="03BC6BA4" w14:textId="77777777" w:rsidR="005E38EF" w:rsidRPr="003E7F38" w:rsidRDefault="005E38EF" w:rsidP="005E38EF">
      <w:pPr>
        <w:pStyle w:val="UnnumtextBodytext"/>
        <w:numPr>
          <w:ilvl w:val="0"/>
          <w:numId w:val="3"/>
        </w:numPr>
        <w:spacing w:line="240" w:lineRule="auto"/>
        <w:rPr>
          <w:rFonts w:cstheme="minorHAnsi"/>
        </w:rPr>
      </w:pPr>
      <w:r w:rsidRPr="003E7F38">
        <w:rPr>
          <w:rFonts w:cstheme="minorHAnsi"/>
        </w:rPr>
        <w:t xml:space="preserve">Top Energy </w:t>
      </w:r>
    </w:p>
    <w:p w14:paraId="6E7A1E2F" w14:textId="77777777" w:rsidR="005E38EF" w:rsidRPr="003E7F38" w:rsidRDefault="005E38EF" w:rsidP="005E38EF">
      <w:pPr>
        <w:pStyle w:val="UnnumtextBodytext"/>
        <w:numPr>
          <w:ilvl w:val="0"/>
          <w:numId w:val="3"/>
        </w:numPr>
        <w:spacing w:line="240" w:lineRule="auto"/>
        <w:rPr>
          <w:rFonts w:cstheme="minorHAnsi"/>
        </w:rPr>
      </w:pPr>
      <w:r w:rsidRPr="003E7F38">
        <w:rPr>
          <w:rFonts w:cstheme="minorHAnsi"/>
        </w:rPr>
        <w:t xml:space="preserve">Unison Networks </w:t>
      </w:r>
    </w:p>
    <w:p w14:paraId="5DE4E656" w14:textId="77777777" w:rsidR="005E38EF" w:rsidRPr="003E7F38" w:rsidRDefault="005E38EF" w:rsidP="005E38EF">
      <w:pPr>
        <w:pStyle w:val="UnnumtextBodytext"/>
        <w:numPr>
          <w:ilvl w:val="0"/>
          <w:numId w:val="3"/>
        </w:numPr>
        <w:spacing w:line="240" w:lineRule="auto"/>
        <w:rPr>
          <w:rFonts w:cstheme="minorHAnsi"/>
        </w:rPr>
      </w:pPr>
      <w:r w:rsidRPr="003E7F38">
        <w:rPr>
          <w:rFonts w:cstheme="minorHAnsi"/>
        </w:rPr>
        <w:t xml:space="preserve">Vector </w:t>
      </w:r>
    </w:p>
    <w:p w14:paraId="3165556C" w14:textId="77777777" w:rsidR="005E38EF" w:rsidRPr="003E7F38" w:rsidRDefault="005E38EF" w:rsidP="005E38EF">
      <w:pPr>
        <w:pStyle w:val="UnnumtextBodytext"/>
        <w:numPr>
          <w:ilvl w:val="0"/>
          <w:numId w:val="3"/>
        </w:numPr>
        <w:spacing w:line="240" w:lineRule="auto"/>
        <w:rPr>
          <w:rFonts w:cstheme="minorHAnsi"/>
        </w:rPr>
      </w:pPr>
      <w:proofErr w:type="spellStart"/>
      <w:r w:rsidRPr="003E7F38">
        <w:rPr>
          <w:rFonts w:cstheme="minorHAnsi"/>
        </w:rPr>
        <w:t>Waipa</w:t>
      </w:r>
      <w:proofErr w:type="spellEnd"/>
      <w:r w:rsidRPr="003E7F38">
        <w:rPr>
          <w:rFonts w:cstheme="minorHAnsi"/>
        </w:rPr>
        <w:t xml:space="preserve"> Networks </w:t>
      </w:r>
    </w:p>
    <w:p w14:paraId="178AE475" w14:textId="77777777" w:rsidR="005E38EF" w:rsidRPr="003E7F38" w:rsidRDefault="005E38EF" w:rsidP="005E38EF">
      <w:pPr>
        <w:pStyle w:val="UnnumtextBodytext"/>
        <w:numPr>
          <w:ilvl w:val="0"/>
          <w:numId w:val="3"/>
        </w:numPr>
        <w:spacing w:line="240" w:lineRule="auto"/>
        <w:rPr>
          <w:rFonts w:cstheme="minorHAnsi"/>
        </w:rPr>
      </w:pPr>
      <w:r w:rsidRPr="003E7F38">
        <w:rPr>
          <w:rFonts w:cstheme="minorHAnsi"/>
        </w:rPr>
        <w:t xml:space="preserve">WEL Networks </w:t>
      </w:r>
    </w:p>
    <w:p w14:paraId="466B1646" w14:textId="77777777" w:rsidR="005E38EF" w:rsidRPr="003E7F38" w:rsidRDefault="005E38EF" w:rsidP="005E38EF">
      <w:pPr>
        <w:pStyle w:val="UnnumtextBodytext"/>
        <w:numPr>
          <w:ilvl w:val="0"/>
          <w:numId w:val="3"/>
        </w:numPr>
        <w:spacing w:line="240" w:lineRule="auto"/>
        <w:rPr>
          <w:rFonts w:cstheme="minorHAnsi"/>
        </w:rPr>
      </w:pPr>
      <w:r w:rsidRPr="003E7F38">
        <w:rPr>
          <w:rFonts w:cstheme="minorHAnsi"/>
        </w:rPr>
        <w:t xml:space="preserve">Wellington Electricity Lines </w:t>
      </w:r>
    </w:p>
    <w:p w14:paraId="154256FF" w14:textId="77777777" w:rsidR="005E38EF" w:rsidRPr="003E7F38" w:rsidRDefault="005E38EF" w:rsidP="005E38EF">
      <w:pPr>
        <w:pStyle w:val="UnnumtextBodytext"/>
        <w:numPr>
          <w:ilvl w:val="0"/>
          <w:numId w:val="3"/>
        </w:numPr>
        <w:spacing w:line="240" w:lineRule="auto"/>
        <w:rPr>
          <w:rFonts w:cstheme="minorHAnsi"/>
        </w:rPr>
      </w:pPr>
      <w:proofErr w:type="spellStart"/>
      <w:r w:rsidRPr="003E7F38">
        <w:rPr>
          <w:rFonts w:cstheme="minorHAnsi"/>
        </w:rPr>
        <w:t>Westpower</w:t>
      </w:r>
      <w:proofErr w:type="spellEnd"/>
      <w:r w:rsidRPr="003E7F38">
        <w:rPr>
          <w:rFonts w:cstheme="minorHAnsi"/>
        </w:rPr>
        <w:t xml:space="preserve"> </w:t>
      </w:r>
    </w:p>
    <w:p w14:paraId="2D1026C4" w14:textId="61CF6084" w:rsidR="004368A1" w:rsidRDefault="004368A1" w:rsidP="004368A1">
      <w:pPr>
        <w:pStyle w:val="UnnumtextBodytext"/>
        <w:rPr>
          <w:rFonts w:cstheme="minorHAnsi"/>
        </w:rPr>
      </w:pPr>
    </w:p>
    <w:p w14:paraId="6BB69E1D" w14:textId="57DCB7EB" w:rsidR="00002696" w:rsidRDefault="00002696" w:rsidP="004368A1">
      <w:pPr>
        <w:pStyle w:val="UnnumtextBodytext"/>
        <w:rPr>
          <w:rFonts w:cstheme="minorHAnsi"/>
        </w:rPr>
      </w:pPr>
    </w:p>
    <w:p w14:paraId="4988961A" w14:textId="17F33439" w:rsidR="00002696" w:rsidRDefault="00002696" w:rsidP="004368A1">
      <w:pPr>
        <w:pStyle w:val="UnnumtextBodytext"/>
        <w:rPr>
          <w:rFonts w:cstheme="minorHAnsi"/>
        </w:rPr>
      </w:pPr>
    </w:p>
    <w:p w14:paraId="68271AD6" w14:textId="3F3D836C" w:rsidR="00002696" w:rsidRDefault="00002696" w:rsidP="004368A1">
      <w:pPr>
        <w:pStyle w:val="UnnumtextBodytext"/>
        <w:rPr>
          <w:rFonts w:cstheme="minorHAnsi"/>
        </w:rPr>
      </w:pPr>
    </w:p>
    <w:p w14:paraId="35E78D7E" w14:textId="0F2BEAA6" w:rsidR="00002696" w:rsidRDefault="00002696" w:rsidP="004368A1">
      <w:pPr>
        <w:pStyle w:val="UnnumtextBodytext"/>
        <w:rPr>
          <w:rFonts w:cstheme="minorHAnsi"/>
        </w:rPr>
      </w:pPr>
    </w:p>
    <w:p w14:paraId="22D5ADE9" w14:textId="7A7D81AF" w:rsidR="00002696" w:rsidRDefault="00002696" w:rsidP="004368A1">
      <w:pPr>
        <w:pStyle w:val="UnnumtextBodytext"/>
        <w:rPr>
          <w:rFonts w:cstheme="minorHAnsi"/>
        </w:rPr>
      </w:pPr>
    </w:p>
    <w:sectPr w:rsidR="00002696" w:rsidSect="007D7B6D">
      <w:headerReference w:type="even" r:id="rId12"/>
      <w:headerReference w:type="default" r:id="rId13"/>
      <w:footerReference w:type="even" r:id="rId14"/>
      <w:footerReference w:type="default" r:id="rId15"/>
      <w:headerReference w:type="first" r:id="rId16"/>
      <w:footerReference w:type="first" r:id="rId17"/>
      <w:pgSz w:w="11900" w:h="16840"/>
      <w:pgMar w:top="1985"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CEA8A" w14:textId="77777777" w:rsidR="00DB55DD" w:rsidRDefault="00DB55DD">
      <w:pPr>
        <w:spacing w:after="0" w:line="240" w:lineRule="auto"/>
      </w:pPr>
      <w:r>
        <w:separator/>
      </w:r>
    </w:p>
  </w:endnote>
  <w:endnote w:type="continuationSeparator" w:id="0">
    <w:p w14:paraId="76177746" w14:textId="77777777" w:rsidR="00DB55DD" w:rsidRDefault="00DB5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BC16D" w14:textId="77777777" w:rsidR="007317F2" w:rsidRDefault="007317F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D834D5" w14:textId="77777777" w:rsidR="007317F2" w:rsidRDefault="007317F2">
    <w:pPr>
      <w:pStyle w:val="Footer"/>
      <w:framePr w:wrap="none" w:vAnchor="text" w:hAnchor="margin" w:xAlign="outside"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36FBF1A" w14:textId="77777777" w:rsidR="007317F2" w:rsidRDefault="007317F2">
    <w:pPr>
      <w:pStyle w:val="Footer"/>
      <w:framePr w:wrap="none" w:vAnchor="text" w:hAnchor="margin" w:xAlign="right" w:y="1"/>
      <w:ind w:right="360" w:firstLine="360"/>
      <w:rPr>
        <w:rStyle w:val="PageNumber"/>
      </w:rPr>
    </w:pPr>
    <w:r>
      <w:rPr>
        <w:rStyle w:val="PageNumber"/>
      </w:rPr>
      <w:fldChar w:fldCharType="begin"/>
    </w:r>
    <w:r>
      <w:rPr>
        <w:rStyle w:val="PageNumber"/>
      </w:rPr>
      <w:instrText xml:space="preserve">PAGE  </w:instrText>
    </w:r>
    <w:r>
      <w:rPr>
        <w:rStyle w:val="PageNumber"/>
      </w:rPr>
      <w:fldChar w:fldCharType="end"/>
    </w:r>
  </w:p>
  <w:p w14:paraId="61030C41" w14:textId="77777777" w:rsidR="007317F2" w:rsidRDefault="007317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3C156" w14:textId="5433312E" w:rsidR="007317F2" w:rsidRDefault="007317F2">
    <w:pPr>
      <w:pStyle w:val="Footer"/>
      <w:framePr w:wrap="none" w:vAnchor="text" w:hAnchor="page" w:x="11102" w:y="300"/>
      <w:rPr>
        <w:rStyle w:val="PageNumber"/>
        <w:rFonts w:asciiTheme="majorHAnsi" w:hAnsiTheme="majorHAnsi" w:cstheme="majorHAnsi"/>
        <w:b/>
        <w:color w:val="000000" w:themeColor="text1"/>
        <w:sz w:val="16"/>
        <w:szCs w:val="16"/>
      </w:rPr>
    </w:pPr>
    <w:r>
      <w:rPr>
        <w:rStyle w:val="PageNumber"/>
        <w:rFonts w:asciiTheme="majorHAnsi" w:hAnsiTheme="majorHAnsi" w:cstheme="majorHAnsi"/>
        <w:b/>
        <w:color w:val="000000" w:themeColor="text1"/>
        <w:sz w:val="16"/>
        <w:szCs w:val="16"/>
      </w:rPr>
      <w:fldChar w:fldCharType="begin"/>
    </w:r>
    <w:r>
      <w:rPr>
        <w:rStyle w:val="PageNumber"/>
        <w:rFonts w:asciiTheme="majorHAnsi" w:hAnsiTheme="majorHAnsi" w:cstheme="majorHAnsi"/>
        <w:b/>
        <w:color w:val="000000" w:themeColor="text1"/>
        <w:sz w:val="16"/>
        <w:szCs w:val="16"/>
      </w:rPr>
      <w:instrText xml:space="preserve">PAGE  </w:instrText>
    </w:r>
    <w:r>
      <w:rPr>
        <w:rStyle w:val="PageNumber"/>
        <w:rFonts w:asciiTheme="majorHAnsi" w:hAnsiTheme="majorHAnsi" w:cstheme="majorHAnsi"/>
        <w:b/>
        <w:color w:val="000000" w:themeColor="text1"/>
        <w:sz w:val="16"/>
        <w:szCs w:val="16"/>
      </w:rPr>
      <w:fldChar w:fldCharType="separate"/>
    </w:r>
    <w:r>
      <w:rPr>
        <w:rStyle w:val="PageNumber"/>
        <w:rFonts w:asciiTheme="majorHAnsi" w:hAnsiTheme="majorHAnsi" w:cstheme="majorHAnsi"/>
        <w:b/>
        <w:noProof/>
        <w:color w:val="000000" w:themeColor="text1"/>
        <w:sz w:val="16"/>
        <w:szCs w:val="16"/>
      </w:rPr>
      <w:t>14</w:t>
    </w:r>
    <w:r>
      <w:rPr>
        <w:rStyle w:val="PageNumber"/>
        <w:rFonts w:asciiTheme="majorHAnsi" w:hAnsiTheme="majorHAnsi" w:cstheme="majorHAnsi"/>
        <w:b/>
        <w:color w:val="000000" w:themeColor="text1"/>
        <w:sz w:val="16"/>
        <w:szCs w:val="16"/>
      </w:rPr>
      <w:fldChar w:fldCharType="end"/>
    </w:r>
  </w:p>
  <w:p w14:paraId="128CD36A" w14:textId="77777777" w:rsidR="007317F2" w:rsidRDefault="007317F2">
    <w:pPr>
      <w:pStyle w:val="Footer"/>
      <w:ind w:right="360" w:firstLine="360"/>
    </w:pPr>
    <w:r>
      <w:rPr>
        <w:noProof/>
        <w:lang w:val="en-US"/>
      </w:rPr>
      <w:drawing>
        <wp:anchor distT="0" distB="0" distL="114300" distR="114300" simplePos="0" relativeHeight="251658752" behindDoc="1" locked="0" layoutInCell="1" allowOverlap="1" wp14:anchorId="0BF71228" wp14:editId="208031A9">
          <wp:simplePos x="0" y="0"/>
          <wp:positionH relativeFrom="page">
            <wp:align>center</wp:align>
          </wp:positionH>
          <wp:positionV relativeFrom="page">
            <wp:align>bottom</wp:align>
          </wp:positionV>
          <wp:extent cx="7560000" cy="489600"/>
          <wp:effectExtent l="0" t="0" r="952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962 ENA L-head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489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5ED00" w14:textId="77777777" w:rsidR="007317F2" w:rsidRDefault="007317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2F3A9" w14:textId="77777777" w:rsidR="00DB55DD" w:rsidRDefault="00DB55DD">
      <w:pPr>
        <w:spacing w:after="0" w:line="240" w:lineRule="auto"/>
      </w:pPr>
      <w:r>
        <w:separator/>
      </w:r>
    </w:p>
  </w:footnote>
  <w:footnote w:type="continuationSeparator" w:id="0">
    <w:p w14:paraId="2F0A18D4" w14:textId="77777777" w:rsidR="00DB55DD" w:rsidRDefault="00DB5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BA2B3" w14:textId="1C2BAE38" w:rsidR="007317F2" w:rsidRDefault="007317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368BF" w14:textId="52C76B42" w:rsidR="007317F2" w:rsidRDefault="007317F2" w:rsidP="007D7B6D">
    <w:pPr>
      <w:pStyle w:val="Header"/>
      <w:jc w:val="left"/>
    </w:pPr>
    <w:r>
      <w:rPr>
        <w:noProof/>
        <w:lang w:val="en-US"/>
      </w:rPr>
      <mc:AlternateContent>
        <mc:Choice Requires="wps">
          <w:drawing>
            <wp:anchor distT="0" distB="0" distL="114300" distR="114300" simplePos="0" relativeHeight="251657728" behindDoc="0" locked="0" layoutInCell="1" allowOverlap="1" wp14:anchorId="7CD83BAB" wp14:editId="0B85C0D7">
              <wp:simplePos x="0" y="0"/>
              <wp:positionH relativeFrom="column">
                <wp:posOffset>-307075</wp:posOffset>
              </wp:positionH>
              <wp:positionV relativeFrom="paragraph">
                <wp:posOffset>-123465</wp:posOffset>
              </wp:positionV>
              <wp:extent cx="3491865" cy="340360"/>
              <wp:effectExtent l="0" t="0" r="0" b="0"/>
              <wp:wrapNone/>
              <wp:docPr id="9" name="Text Box 9"/>
              <wp:cNvGraphicFramePr/>
              <a:graphic xmlns:a="http://schemas.openxmlformats.org/drawingml/2006/main">
                <a:graphicData uri="http://schemas.microsoft.com/office/word/2010/wordprocessingShape">
                  <wps:wsp>
                    <wps:cNvSpPr txBox="1"/>
                    <wps:spPr>
                      <a:xfrm>
                        <a:off x="0" y="0"/>
                        <a:ext cx="3491865" cy="3403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E56E781" w14:textId="77777777" w:rsidR="007317F2" w:rsidRDefault="007317F2" w:rsidP="00B84BB7">
                          <w:pPr>
                            <w:rPr>
                              <w:rFonts w:asciiTheme="majorHAnsi" w:hAnsiTheme="majorHAnsi" w:cstheme="majorHAnsi"/>
                              <w:b/>
                              <w:color w:val="00B0F0"/>
                              <w:sz w:val="16"/>
                              <w:szCs w:val="16"/>
                              <w:lang w:val="en-AU"/>
                            </w:rPr>
                          </w:pPr>
                          <w:r>
                            <w:rPr>
                              <w:noProof/>
                              <w:lang w:val="en-US"/>
                            </w:rPr>
                            <w:drawing>
                              <wp:inline distT="0" distB="0" distL="0" distR="0" wp14:anchorId="06FC0DB8" wp14:editId="0EA6F4C2">
                                <wp:extent cx="377190" cy="248920"/>
                                <wp:effectExtent l="0" t="0" r="3810" b="0"/>
                                <wp:docPr id="6" name="Picture 6" descr="V:\Communications\Branding\ENA logo.jpg"/>
                                <wp:cNvGraphicFramePr/>
                                <a:graphic xmlns:a="http://schemas.openxmlformats.org/drawingml/2006/main">
                                  <a:graphicData uri="http://schemas.openxmlformats.org/drawingml/2006/picture">
                                    <pic:pic xmlns:pic="http://schemas.openxmlformats.org/drawingml/2006/picture">
                                      <pic:nvPicPr>
                                        <pic:cNvPr id="19" name="Picture 19" descr="V:\Communications\Branding\ENA 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7190" cy="2489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D83BAB" id="_x0000_t202" coordsize="21600,21600" o:spt="202" path="m,l,21600r21600,l21600,xe">
              <v:stroke joinstyle="miter"/>
              <v:path gradientshapeok="t" o:connecttype="rect"/>
            </v:shapetype>
            <v:shape id="Text Box 9" o:spid="_x0000_s1029" type="#_x0000_t202" style="position:absolute;margin-left:-24.2pt;margin-top:-9.7pt;width:274.95pt;height:26.8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" filled="f" stroked="f">
              <v:textbox>
                <w:txbxContent>
                  <w:p w14:paraId="1E56E781" w14:textId="77777777" w:rsidR="007317F2" w:rsidRDefault="007317F2" w:rsidP="00B84BB7">
                    <w:pPr>
                      <w:rPr>
                        <w:rFonts w:asciiTheme="majorHAnsi" w:hAnsiTheme="majorHAnsi" w:cstheme="majorHAnsi"/>
                        <w:b/>
                        <w:color w:val="00B0F0"/>
                        <w:sz w:val="16"/>
                        <w:szCs w:val="16"/>
                        <w:lang w:val="en-AU"/>
                      </w:rPr>
                    </w:pPr>
                    <w:r>
                      <w:rPr>
                        <w:noProof/>
                        <w:lang w:val="en-US"/>
                      </w:rPr>
                      <w:drawing>
                        <wp:inline distT="0" distB="0" distL="0" distR="0" wp14:anchorId="06FC0DB8" wp14:editId="0EA6F4C2">
                          <wp:extent cx="377190" cy="248920"/>
                          <wp:effectExtent l="0" t="0" r="3810" b="0"/>
                          <wp:docPr id="6" name="Picture 6" descr="V:\Communications\Branding\ENA logo.jpg"/>
                          <wp:cNvGraphicFramePr/>
                          <a:graphic xmlns:a="http://schemas.openxmlformats.org/drawingml/2006/main">
                            <a:graphicData uri="http://schemas.openxmlformats.org/drawingml/2006/picture">
                              <pic:pic xmlns:pic="http://schemas.openxmlformats.org/drawingml/2006/picture">
                                <pic:nvPicPr>
                                  <pic:cNvPr id="19" name="Picture 19" descr="V:\Communications\Branding\ENA 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7190" cy="248920"/>
                                  </a:xfrm>
                                  <a:prstGeom prst="rect">
                                    <a:avLst/>
                                  </a:prstGeom>
                                  <a:noFill/>
                                  <a:ln>
                                    <a:noFill/>
                                  </a:ln>
                                </pic:spPr>
                              </pic:pic>
                            </a:graphicData>
                          </a:graphic>
                        </wp:inline>
                      </w:drawing>
                    </w:r>
                  </w:p>
                </w:txbxContent>
              </v:textbox>
            </v:shape>
          </w:pict>
        </mc:Fallback>
      </mc:AlternateContent>
    </w:r>
    <w:r>
      <w:rPr>
        <w:noProof/>
        <w:lang w:val="en-US"/>
      </w:rPr>
      <mc:AlternateContent>
        <mc:Choice Requires="wps">
          <w:drawing>
            <wp:anchor distT="0" distB="0" distL="114300" distR="114300" simplePos="0" relativeHeight="251655680" behindDoc="0" locked="0" layoutInCell="1" allowOverlap="1" wp14:anchorId="25D76DF9" wp14:editId="4018F949">
              <wp:simplePos x="0" y="0"/>
              <wp:positionH relativeFrom="column">
                <wp:posOffset>3227070</wp:posOffset>
              </wp:positionH>
              <wp:positionV relativeFrom="paragraph">
                <wp:posOffset>-104775</wp:posOffset>
              </wp:positionV>
              <wp:extent cx="2985135" cy="340360"/>
              <wp:effectExtent l="0" t="0" r="0" b="0"/>
              <wp:wrapNone/>
              <wp:docPr id="8" name="Text Box 8"/>
              <wp:cNvGraphicFramePr/>
              <a:graphic xmlns:a="http://schemas.openxmlformats.org/drawingml/2006/main">
                <a:graphicData uri="http://schemas.microsoft.com/office/word/2010/wordprocessingShape">
                  <wps:wsp>
                    <wps:cNvSpPr txBox="1"/>
                    <wps:spPr>
                      <a:xfrm>
                        <a:off x="0" y="0"/>
                        <a:ext cx="2985135" cy="3403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91762B" w14:textId="3F3460F2" w:rsidR="007317F2" w:rsidRPr="003E7F38" w:rsidRDefault="007317F2">
                          <w:pPr>
                            <w:pStyle w:val="Header"/>
                            <w:rPr>
                              <w:rFonts w:asciiTheme="minorHAnsi" w:hAnsiTheme="minorHAnsi" w:cstheme="minorHAnsi"/>
                              <w:lang w:val="en-AU"/>
                            </w:rPr>
                          </w:pPr>
                          <w:r w:rsidRPr="003E7F38">
                            <w:rPr>
                              <w:rFonts w:asciiTheme="minorHAnsi" w:hAnsiTheme="minorHAnsi" w:cstheme="minorHAnsi"/>
                              <w:lang w:val="en-AU"/>
                            </w:rPr>
                            <w:t>Submission on</w:t>
                          </w:r>
                          <w:r>
                            <w:rPr>
                              <w:rFonts w:asciiTheme="minorHAnsi" w:hAnsiTheme="minorHAnsi" w:cstheme="minorHAnsi"/>
                              <w:lang w:val="en-AU"/>
                            </w:rPr>
                            <w:t xml:space="preserve"> 2019</w:t>
                          </w:r>
                          <w:r w:rsidRPr="003E7F38">
                            <w:rPr>
                              <w:rFonts w:asciiTheme="minorHAnsi" w:hAnsiTheme="minorHAnsi" w:cstheme="minorHAnsi"/>
                              <w:lang w:val="en-AU"/>
                            </w:rPr>
                            <w:t xml:space="preserve"> TPM</w:t>
                          </w:r>
                          <w:r>
                            <w:rPr>
                              <w:rFonts w:asciiTheme="minorHAnsi" w:hAnsiTheme="minorHAnsi" w:cstheme="minorHAnsi"/>
                              <w:lang w:val="en-AU"/>
                            </w:rPr>
                            <w:t>3 proposal</w:t>
                          </w:r>
                          <w:r w:rsidRPr="003E7F38">
                            <w:rPr>
                              <w:rFonts w:asciiTheme="minorHAnsi" w:hAnsiTheme="minorHAnsi" w:cstheme="minorHAnsi"/>
                              <w:lang w:val="en-AU"/>
                            </w:rPr>
                            <w:t xml:space="preserve"> consultation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D76DF9" id="Text Box 8" o:spid="_x0000_s1030" type="#_x0000_t202" style="position:absolute;margin-left:254.1pt;margin-top:-8.25pt;width:235.05pt;height:26.8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" filled="f" stroked="f">
              <v:textbox>
                <w:txbxContent>
                  <w:p w14:paraId="3091762B" w14:textId="3F3460F2" w:rsidR="007317F2" w:rsidRPr="003E7F38" w:rsidRDefault="007317F2">
                    <w:pPr>
                      <w:pStyle w:val="Header"/>
                      <w:rPr>
                        <w:rFonts w:asciiTheme="minorHAnsi" w:hAnsiTheme="minorHAnsi" w:cstheme="minorHAnsi"/>
                        <w:lang w:val="en-AU"/>
                      </w:rPr>
                    </w:pPr>
                    <w:r w:rsidRPr="003E7F38">
                      <w:rPr>
                        <w:rFonts w:asciiTheme="minorHAnsi" w:hAnsiTheme="minorHAnsi" w:cstheme="minorHAnsi"/>
                        <w:lang w:val="en-AU"/>
                      </w:rPr>
                      <w:t>Submission on</w:t>
                    </w:r>
                    <w:r>
                      <w:rPr>
                        <w:rFonts w:asciiTheme="minorHAnsi" w:hAnsiTheme="minorHAnsi" w:cstheme="minorHAnsi"/>
                        <w:lang w:val="en-AU"/>
                      </w:rPr>
                      <w:t xml:space="preserve"> 2019</w:t>
                    </w:r>
                    <w:r w:rsidRPr="003E7F38">
                      <w:rPr>
                        <w:rFonts w:asciiTheme="minorHAnsi" w:hAnsiTheme="minorHAnsi" w:cstheme="minorHAnsi"/>
                        <w:lang w:val="en-AU"/>
                      </w:rPr>
                      <w:t xml:space="preserve"> TPM</w:t>
                    </w:r>
                    <w:r>
                      <w:rPr>
                        <w:rFonts w:asciiTheme="minorHAnsi" w:hAnsiTheme="minorHAnsi" w:cstheme="minorHAnsi"/>
                        <w:lang w:val="en-AU"/>
                      </w:rPr>
                      <w:t>3 proposal</w:t>
                    </w:r>
                    <w:r w:rsidRPr="003E7F38">
                      <w:rPr>
                        <w:rFonts w:asciiTheme="minorHAnsi" w:hAnsiTheme="minorHAnsi" w:cstheme="minorHAnsi"/>
                        <w:lang w:val="en-AU"/>
                      </w:rPr>
                      <w:t xml:space="preserve"> consultation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D7818" w14:textId="2CAF95BF" w:rsidR="007317F2" w:rsidRDefault="007317F2" w:rsidP="00F560B4">
    <w:pPr>
      <w:pStyle w:val="Header"/>
      <w:ind w:left="720"/>
      <w:jc w:val="center"/>
    </w:pPr>
    <w:r>
      <w:rPr>
        <w:noProof/>
        <w:lang w:val="en-US"/>
      </w:rPr>
      <w:drawing>
        <wp:anchor distT="0" distB="0" distL="114300" distR="114300" simplePos="0" relativeHeight="251656704" behindDoc="1" locked="0" layoutInCell="1" allowOverlap="1" wp14:anchorId="70FDE042" wp14:editId="5691424E">
          <wp:simplePos x="0" y="0"/>
          <wp:positionH relativeFrom="page">
            <wp:align>left</wp:align>
          </wp:positionH>
          <wp:positionV relativeFrom="page">
            <wp:align>top</wp:align>
          </wp:positionV>
          <wp:extent cx="7559675" cy="10691495"/>
          <wp:effectExtent l="0" t="0" r="317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962 ENA Submission template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7E76"/>
    <w:multiLevelType w:val="hybridMultilevel"/>
    <w:tmpl w:val="FEF25664"/>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3172A"/>
    <w:multiLevelType w:val="hybridMultilevel"/>
    <w:tmpl w:val="BCF8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23CBD"/>
    <w:multiLevelType w:val="hybridMultilevel"/>
    <w:tmpl w:val="DD161928"/>
    <w:lvl w:ilvl="0" w:tplc="0409000F">
      <w:start w:val="1"/>
      <w:numFmt w:val="decimal"/>
      <w:lvlText w:val="%1."/>
      <w:lvlJc w:val="left"/>
      <w:pPr>
        <w:ind w:left="720" w:hanging="360"/>
      </w:pPr>
    </w:lvl>
    <w:lvl w:ilvl="1" w:tplc="55146D6A">
      <w:start w:val="1"/>
      <w:numFmt w:val="bullet"/>
      <w:lvlText w:val=""/>
      <w:lvlJc w:val="left"/>
      <w:pPr>
        <w:ind w:left="1440" w:hanging="360"/>
      </w:pPr>
      <w:rPr>
        <w:rFonts w:ascii="Symbol" w:hAnsi="Symbol" w:hint="default"/>
        <w:color w:val="auto"/>
      </w:rPr>
    </w:lvl>
    <w:lvl w:ilvl="2" w:tplc="64D82A38">
      <w:start w:val="2"/>
      <w:numFmt w:val="bullet"/>
      <w:lvlText w:val="-"/>
      <w:lvlJc w:val="left"/>
      <w:pPr>
        <w:ind w:left="2340" w:hanging="36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A21E4"/>
    <w:multiLevelType w:val="hybridMultilevel"/>
    <w:tmpl w:val="BA98F23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C37207A"/>
    <w:multiLevelType w:val="hybridMultilevel"/>
    <w:tmpl w:val="30F232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2F25F76"/>
    <w:multiLevelType w:val="hybridMultilevel"/>
    <w:tmpl w:val="FFEC8DB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50F5AEC"/>
    <w:multiLevelType w:val="hybridMultilevel"/>
    <w:tmpl w:val="8F9A8F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262B68F7"/>
    <w:multiLevelType w:val="hybridMultilevel"/>
    <w:tmpl w:val="E424DF2C"/>
    <w:lvl w:ilvl="0" w:tplc="9362AA4C">
      <w:start w:val="1"/>
      <w:numFmt w:val="decimal"/>
      <w:lvlText w:val="%1."/>
      <w:lvlJc w:val="left"/>
      <w:pPr>
        <w:ind w:left="1212" w:hanging="852"/>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811570B"/>
    <w:multiLevelType w:val="multilevel"/>
    <w:tmpl w:val="7C869CD8"/>
    <w:lvl w:ilvl="0">
      <w:start w:val="3"/>
      <w:numFmt w:val="decimal"/>
      <w:pStyle w:val="1Heading"/>
      <w:lvlText w:val="%1."/>
      <w:lvlJc w:val="left"/>
      <w:pPr>
        <w:ind w:left="720" w:hanging="360"/>
      </w:pPr>
      <w:rPr>
        <w:rFonts w:hint="default"/>
      </w:rPr>
    </w:lvl>
    <w:lvl w:ilvl="1">
      <w:start w:val="4"/>
      <w:numFmt w:val="decimal"/>
      <w:pStyle w:val="11Heading"/>
      <w:isLgl/>
      <w:lvlText w:val="%1.%2"/>
      <w:lvlJc w:val="left"/>
      <w:pPr>
        <w:ind w:left="780" w:hanging="420"/>
      </w:pPr>
      <w:rPr>
        <w:rFonts w:hint="default"/>
      </w:rPr>
    </w:lvl>
    <w:lvl w:ilvl="2">
      <w:start w:val="2"/>
      <w:numFmt w:val="decimal"/>
      <w:pStyle w:val="111Heading"/>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8C43295"/>
    <w:multiLevelType w:val="hybridMultilevel"/>
    <w:tmpl w:val="7256C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12C52"/>
    <w:multiLevelType w:val="hybridMultilevel"/>
    <w:tmpl w:val="FEF00C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3DF10F3D"/>
    <w:multiLevelType w:val="hybridMultilevel"/>
    <w:tmpl w:val="8FFC542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4E1B1621"/>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15:restartNumberingAfterBreak="0">
    <w:nsid w:val="4F4B27E9"/>
    <w:multiLevelType w:val="hybridMultilevel"/>
    <w:tmpl w:val="B2064392"/>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1B4B9A"/>
    <w:multiLevelType w:val="hybridMultilevel"/>
    <w:tmpl w:val="49C44BB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BC42AC5"/>
    <w:multiLevelType w:val="hybridMultilevel"/>
    <w:tmpl w:val="1E9A5B3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E3430DB"/>
    <w:multiLevelType w:val="hybridMultilevel"/>
    <w:tmpl w:val="16C83E32"/>
    <w:lvl w:ilvl="0" w:tplc="1409000F">
      <w:start w:val="1"/>
      <w:numFmt w:val="decimal"/>
      <w:lvlText w:val="%1."/>
      <w:lvlJc w:val="left"/>
      <w:pPr>
        <w:ind w:left="1145" w:hanging="360"/>
      </w:pPr>
    </w:lvl>
    <w:lvl w:ilvl="1" w:tplc="14090019" w:tentative="1">
      <w:start w:val="1"/>
      <w:numFmt w:val="lowerLetter"/>
      <w:lvlText w:val="%2."/>
      <w:lvlJc w:val="left"/>
      <w:pPr>
        <w:ind w:left="1865" w:hanging="360"/>
      </w:pPr>
    </w:lvl>
    <w:lvl w:ilvl="2" w:tplc="1409001B" w:tentative="1">
      <w:start w:val="1"/>
      <w:numFmt w:val="lowerRoman"/>
      <w:lvlText w:val="%3."/>
      <w:lvlJc w:val="right"/>
      <w:pPr>
        <w:ind w:left="2585" w:hanging="180"/>
      </w:pPr>
    </w:lvl>
    <w:lvl w:ilvl="3" w:tplc="1409000F" w:tentative="1">
      <w:start w:val="1"/>
      <w:numFmt w:val="decimal"/>
      <w:lvlText w:val="%4."/>
      <w:lvlJc w:val="left"/>
      <w:pPr>
        <w:ind w:left="3305" w:hanging="360"/>
      </w:pPr>
    </w:lvl>
    <w:lvl w:ilvl="4" w:tplc="14090019" w:tentative="1">
      <w:start w:val="1"/>
      <w:numFmt w:val="lowerLetter"/>
      <w:lvlText w:val="%5."/>
      <w:lvlJc w:val="left"/>
      <w:pPr>
        <w:ind w:left="4025" w:hanging="360"/>
      </w:pPr>
    </w:lvl>
    <w:lvl w:ilvl="5" w:tplc="1409001B" w:tentative="1">
      <w:start w:val="1"/>
      <w:numFmt w:val="lowerRoman"/>
      <w:lvlText w:val="%6."/>
      <w:lvlJc w:val="right"/>
      <w:pPr>
        <w:ind w:left="4745" w:hanging="180"/>
      </w:pPr>
    </w:lvl>
    <w:lvl w:ilvl="6" w:tplc="1409000F" w:tentative="1">
      <w:start w:val="1"/>
      <w:numFmt w:val="decimal"/>
      <w:lvlText w:val="%7."/>
      <w:lvlJc w:val="left"/>
      <w:pPr>
        <w:ind w:left="5465" w:hanging="360"/>
      </w:pPr>
    </w:lvl>
    <w:lvl w:ilvl="7" w:tplc="14090019" w:tentative="1">
      <w:start w:val="1"/>
      <w:numFmt w:val="lowerLetter"/>
      <w:lvlText w:val="%8."/>
      <w:lvlJc w:val="left"/>
      <w:pPr>
        <w:ind w:left="6185" w:hanging="360"/>
      </w:pPr>
    </w:lvl>
    <w:lvl w:ilvl="8" w:tplc="1409001B" w:tentative="1">
      <w:start w:val="1"/>
      <w:numFmt w:val="lowerRoman"/>
      <w:lvlText w:val="%9."/>
      <w:lvlJc w:val="right"/>
      <w:pPr>
        <w:ind w:left="6905" w:hanging="180"/>
      </w:pPr>
    </w:lvl>
  </w:abstractNum>
  <w:abstractNum w:abstractNumId="17" w15:restartNumberingAfterBreak="0">
    <w:nsid w:val="60992965"/>
    <w:multiLevelType w:val="hybridMultilevel"/>
    <w:tmpl w:val="A9D872B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E1C4FB5"/>
    <w:multiLevelType w:val="multilevel"/>
    <w:tmpl w:val="C90A215C"/>
    <w:lvl w:ilvl="0">
      <w:start w:val="1"/>
      <w:numFmt w:val="decimal"/>
      <w:pStyle w:val="ListNumber"/>
      <w:lvlText w:val="%1."/>
      <w:lvlJc w:val="left"/>
      <w:pPr>
        <w:ind w:left="284" w:hanging="284"/>
      </w:pPr>
      <w:rPr>
        <w:rFonts w:ascii="Arial" w:hAnsi="Arial" w:hint="default"/>
        <w:b w:val="0"/>
        <w:i w:val="0"/>
        <w:sz w:val="16"/>
      </w:rPr>
    </w:lvl>
    <w:lvl w:ilvl="1">
      <w:start w:val="1"/>
      <w:numFmt w:val="lowerLetter"/>
      <w:lvlText w:val="(%2)"/>
      <w:lvlJc w:val="left"/>
      <w:pPr>
        <w:ind w:left="567" w:hanging="283"/>
      </w:pPr>
      <w:rPr>
        <w:rFonts w:ascii="Arial" w:hAnsi="Arial" w:hint="default"/>
        <w:b w:val="0"/>
        <w:i w:val="0"/>
        <w:sz w:val="16"/>
      </w:rPr>
    </w:lvl>
    <w:lvl w:ilvl="2">
      <w:start w:val="1"/>
      <w:numFmt w:val="lowerRoman"/>
      <w:lvlText w:val="(%3)"/>
      <w:lvlJc w:val="left"/>
      <w:pPr>
        <w:ind w:left="992" w:hanging="425"/>
      </w:pPr>
      <w:rPr>
        <w:rFonts w:ascii="Arial" w:hAnsi="Arial" w:hint="default"/>
        <w:b w:val="0"/>
        <w:i w:val="0"/>
        <w:sz w:val="16"/>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num w:numId="1">
    <w:abstractNumId w:val="3"/>
  </w:num>
  <w:num w:numId="2">
    <w:abstractNumId w:val="12"/>
  </w:num>
  <w:num w:numId="3">
    <w:abstractNumId w:val="16"/>
  </w:num>
  <w:num w:numId="4">
    <w:abstractNumId w:val="7"/>
  </w:num>
  <w:num w:numId="5">
    <w:abstractNumId w:val="8"/>
  </w:num>
  <w:num w:numId="6">
    <w:abstractNumId w:val="1"/>
  </w:num>
  <w:num w:numId="7">
    <w:abstractNumId w:val="8"/>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18"/>
  </w:num>
  <w:num w:numId="11">
    <w:abstractNumId w:val="11"/>
  </w:num>
  <w:num w:numId="12">
    <w:abstractNumId w:val="8"/>
  </w:num>
  <w:num w:numId="13">
    <w:abstractNumId w:val="14"/>
  </w:num>
  <w:num w:numId="14">
    <w:abstractNumId w:val="4"/>
  </w:num>
  <w:num w:numId="15">
    <w:abstractNumId w:val="15"/>
  </w:num>
  <w:num w:numId="16">
    <w:abstractNumId w:val="8"/>
  </w:num>
  <w:num w:numId="17">
    <w:abstractNumId w:val="2"/>
  </w:num>
  <w:num w:numId="18">
    <w:abstractNumId w:val="10"/>
  </w:num>
  <w:num w:numId="19">
    <w:abstractNumId w:val="17"/>
  </w:num>
  <w:num w:numId="20">
    <w:abstractNumId w:val="5"/>
  </w:num>
  <w:num w:numId="21">
    <w:abstractNumId w:val="8"/>
  </w:num>
  <w:num w:numId="22">
    <w:abstractNumId w:val="8"/>
  </w:num>
  <w:num w:numId="23">
    <w:abstractNumId w:val="8"/>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8A1"/>
    <w:rsid w:val="00002293"/>
    <w:rsid w:val="00002696"/>
    <w:rsid w:val="00002B4A"/>
    <w:rsid w:val="00006997"/>
    <w:rsid w:val="00007FE2"/>
    <w:rsid w:val="0001336E"/>
    <w:rsid w:val="00017B3C"/>
    <w:rsid w:val="0002466B"/>
    <w:rsid w:val="000269E4"/>
    <w:rsid w:val="000278C4"/>
    <w:rsid w:val="00033575"/>
    <w:rsid w:val="00036A38"/>
    <w:rsid w:val="00037BF5"/>
    <w:rsid w:val="00045FC2"/>
    <w:rsid w:val="0004670D"/>
    <w:rsid w:val="00050799"/>
    <w:rsid w:val="0005410F"/>
    <w:rsid w:val="000541BF"/>
    <w:rsid w:val="000548B8"/>
    <w:rsid w:val="00062E94"/>
    <w:rsid w:val="00063AF4"/>
    <w:rsid w:val="00075E6C"/>
    <w:rsid w:val="000832A7"/>
    <w:rsid w:val="000938C2"/>
    <w:rsid w:val="000A001E"/>
    <w:rsid w:val="000A238C"/>
    <w:rsid w:val="000A262E"/>
    <w:rsid w:val="000B0238"/>
    <w:rsid w:val="000B14E4"/>
    <w:rsid w:val="000B2E2C"/>
    <w:rsid w:val="000B6078"/>
    <w:rsid w:val="000B6803"/>
    <w:rsid w:val="000C0CF1"/>
    <w:rsid w:val="000C1020"/>
    <w:rsid w:val="000C620F"/>
    <w:rsid w:val="000D0C36"/>
    <w:rsid w:val="000D0F37"/>
    <w:rsid w:val="000D2EBD"/>
    <w:rsid w:val="000D3804"/>
    <w:rsid w:val="000D5A6D"/>
    <w:rsid w:val="000E189A"/>
    <w:rsid w:val="000E3A64"/>
    <w:rsid w:val="000E4C90"/>
    <w:rsid w:val="000E6A6B"/>
    <w:rsid w:val="000F34A1"/>
    <w:rsid w:val="000F4542"/>
    <w:rsid w:val="00105A9E"/>
    <w:rsid w:val="001077CF"/>
    <w:rsid w:val="001154C5"/>
    <w:rsid w:val="0011734A"/>
    <w:rsid w:val="00125351"/>
    <w:rsid w:val="00126A40"/>
    <w:rsid w:val="00126F99"/>
    <w:rsid w:val="001309D3"/>
    <w:rsid w:val="001340C8"/>
    <w:rsid w:val="00136E50"/>
    <w:rsid w:val="0014330B"/>
    <w:rsid w:val="00150C5D"/>
    <w:rsid w:val="00153077"/>
    <w:rsid w:val="00153467"/>
    <w:rsid w:val="00154DF4"/>
    <w:rsid w:val="001562EE"/>
    <w:rsid w:val="00162AA6"/>
    <w:rsid w:val="001715BE"/>
    <w:rsid w:val="00171DE3"/>
    <w:rsid w:val="00180BC2"/>
    <w:rsid w:val="001876D5"/>
    <w:rsid w:val="001A1018"/>
    <w:rsid w:val="001B5F27"/>
    <w:rsid w:val="001B614D"/>
    <w:rsid w:val="001C47F8"/>
    <w:rsid w:val="001D1388"/>
    <w:rsid w:val="001D4D3E"/>
    <w:rsid w:val="001D7020"/>
    <w:rsid w:val="001D7C19"/>
    <w:rsid w:val="001E1CE8"/>
    <w:rsid w:val="001E7C4E"/>
    <w:rsid w:val="001F0F65"/>
    <w:rsid w:val="001F1CA5"/>
    <w:rsid w:val="001F760A"/>
    <w:rsid w:val="002006A1"/>
    <w:rsid w:val="00200B54"/>
    <w:rsid w:val="002017EA"/>
    <w:rsid w:val="0021012F"/>
    <w:rsid w:val="002125BB"/>
    <w:rsid w:val="002156D9"/>
    <w:rsid w:val="0022023D"/>
    <w:rsid w:val="00222343"/>
    <w:rsid w:val="002233E1"/>
    <w:rsid w:val="00240F07"/>
    <w:rsid w:val="00241759"/>
    <w:rsid w:val="002522EE"/>
    <w:rsid w:val="0025287D"/>
    <w:rsid w:val="00254DD7"/>
    <w:rsid w:val="00256E87"/>
    <w:rsid w:val="00261F87"/>
    <w:rsid w:val="002805F7"/>
    <w:rsid w:val="00280D1B"/>
    <w:rsid w:val="00281832"/>
    <w:rsid w:val="0029010A"/>
    <w:rsid w:val="00290FA7"/>
    <w:rsid w:val="002954AD"/>
    <w:rsid w:val="002A11FF"/>
    <w:rsid w:val="002A3233"/>
    <w:rsid w:val="002A7D0D"/>
    <w:rsid w:val="002A7E67"/>
    <w:rsid w:val="002B42D5"/>
    <w:rsid w:val="002B6244"/>
    <w:rsid w:val="002C0B7A"/>
    <w:rsid w:val="002C5562"/>
    <w:rsid w:val="002D3F08"/>
    <w:rsid w:val="002D5793"/>
    <w:rsid w:val="002E4E4A"/>
    <w:rsid w:val="002F04CF"/>
    <w:rsid w:val="002F4BE2"/>
    <w:rsid w:val="002F7241"/>
    <w:rsid w:val="00300CB5"/>
    <w:rsid w:val="0030490C"/>
    <w:rsid w:val="003150A3"/>
    <w:rsid w:val="00316B68"/>
    <w:rsid w:val="003175B9"/>
    <w:rsid w:val="0032011A"/>
    <w:rsid w:val="00320BC4"/>
    <w:rsid w:val="003269A3"/>
    <w:rsid w:val="00326AB7"/>
    <w:rsid w:val="00330FDD"/>
    <w:rsid w:val="0033794E"/>
    <w:rsid w:val="00351EC5"/>
    <w:rsid w:val="003701D3"/>
    <w:rsid w:val="00371D08"/>
    <w:rsid w:val="003728D2"/>
    <w:rsid w:val="003761D2"/>
    <w:rsid w:val="0037785A"/>
    <w:rsid w:val="003778DA"/>
    <w:rsid w:val="00386581"/>
    <w:rsid w:val="00390B0D"/>
    <w:rsid w:val="0039449C"/>
    <w:rsid w:val="00394944"/>
    <w:rsid w:val="003A3D24"/>
    <w:rsid w:val="003A635B"/>
    <w:rsid w:val="003B1568"/>
    <w:rsid w:val="003B2280"/>
    <w:rsid w:val="003C5EFA"/>
    <w:rsid w:val="003C687D"/>
    <w:rsid w:val="003D4F4E"/>
    <w:rsid w:val="003E2E5B"/>
    <w:rsid w:val="003E7F38"/>
    <w:rsid w:val="003F4A38"/>
    <w:rsid w:val="00405687"/>
    <w:rsid w:val="0042042E"/>
    <w:rsid w:val="00420C42"/>
    <w:rsid w:val="00422423"/>
    <w:rsid w:val="00425CF3"/>
    <w:rsid w:val="00427729"/>
    <w:rsid w:val="004279E2"/>
    <w:rsid w:val="00432726"/>
    <w:rsid w:val="00434AA8"/>
    <w:rsid w:val="004362A1"/>
    <w:rsid w:val="004368A1"/>
    <w:rsid w:val="00443695"/>
    <w:rsid w:val="004445D5"/>
    <w:rsid w:val="004463D4"/>
    <w:rsid w:val="00453D8B"/>
    <w:rsid w:val="004572CF"/>
    <w:rsid w:val="00460922"/>
    <w:rsid w:val="00466A95"/>
    <w:rsid w:val="00475D1B"/>
    <w:rsid w:val="00476B3C"/>
    <w:rsid w:val="00481CE9"/>
    <w:rsid w:val="0049311D"/>
    <w:rsid w:val="00494D35"/>
    <w:rsid w:val="00497962"/>
    <w:rsid w:val="004A170C"/>
    <w:rsid w:val="004A3554"/>
    <w:rsid w:val="004A7014"/>
    <w:rsid w:val="004A7497"/>
    <w:rsid w:val="004A7BE5"/>
    <w:rsid w:val="004B1A2C"/>
    <w:rsid w:val="004B1F1D"/>
    <w:rsid w:val="004B3539"/>
    <w:rsid w:val="004B4830"/>
    <w:rsid w:val="004B67DC"/>
    <w:rsid w:val="004C7448"/>
    <w:rsid w:val="004D060F"/>
    <w:rsid w:val="004D18B2"/>
    <w:rsid w:val="004E0844"/>
    <w:rsid w:val="004E1FA6"/>
    <w:rsid w:val="004F3C15"/>
    <w:rsid w:val="005029BA"/>
    <w:rsid w:val="005040F5"/>
    <w:rsid w:val="00507932"/>
    <w:rsid w:val="00507EB8"/>
    <w:rsid w:val="00514964"/>
    <w:rsid w:val="00517294"/>
    <w:rsid w:val="005175BF"/>
    <w:rsid w:val="00517AA7"/>
    <w:rsid w:val="0052382F"/>
    <w:rsid w:val="00527A98"/>
    <w:rsid w:val="00530377"/>
    <w:rsid w:val="00537A14"/>
    <w:rsid w:val="005405F2"/>
    <w:rsid w:val="005414E6"/>
    <w:rsid w:val="00543625"/>
    <w:rsid w:val="00544324"/>
    <w:rsid w:val="0055363A"/>
    <w:rsid w:val="005601B8"/>
    <w:rsid w:val="00570EAB"/>
    <w:rsid w:val="005732EF"/>
    <w:rsid w:val="00580C60"/>
    <w:rsid w:val="00586E96"/>
    <w:rsid w:val="005922E7"/>
    <w:rsid w:val="005A4E1F"/>
    <w:rsid w:val="005A572F"/>
    <w:rsid w:val="005A5A68"/>
    <w:rsid w:val="005B3436"/>
    <w:rsid w:val="005B6916"/>
    <w:rsid w:val="005B6AA8"/>
    <w:rsid w:val="005C2321"/>
    <w:rsid w:val="005C274B"/>
    <w:rsid w:val="005C70EA"/>
    <w:rsid w:val="005D02CB"/>
    <w:rsid w:val="005D02EE"/>
    <w:rsid w:val="005E38EF"/>
    <w:rsid w:val="005F01D9"/>
    <w:rsid w:val="005F30A8"/>
    <w:rsid w:val="005F4343"/>
    <w:rsid w:val="006051E0"/>
    <w:rsid w:val="0060639D"/>
    <w:rsid w:val="00613F01"/>
    <w:rsid w:val="00615473"/>
    <w:rsid w:val="00627D5C"/>
    <w:rsid w:val="00633385"/>
    <w:rsid w:val="0063612C"/>
    <w:rsid w:val="00645D92"/>
    <w:rsid w:val="00647AC2"/>
    <w:rsid w:val="00651744"/>
    <w:rsid w:val="00657AE7"/>
    <w:rsid w:val="00662DE9"/>
    <w:rsid w:val="00663968"/>
    <w:rsid w:val="006732BC"/>
    <w:rsid w:val="00680F32"/>
    <w:rsid w:val="00683A5B"/>
    <w:rsid w:val="00683BCB"/>
    <w:rsid w:val="006847EE"/>
    <w:rsid w:val="0068612D"/>
    <w:rsid w:val="00686464"/>
    <w:rsid w:val="0069355F"/>
    <w:rsid w:val="006945D3"/>
    <w:rsid w:val="006A0770"/>
    <w:rsid w:val="006B168E"/>
    <w:rsid w:val="006C2CFB"/>
    <w:rsid w:val="006C7322"/>
    <w:rsid w:val="006C7830"/>
    <w:rsid w:val="006C783A"/>
    <w:rsid w:val="006D2D64"/>
    <w:rsid w:val="006D4602"/>
    <w:rsid w:val="006D6AC0"/>
    <w:rsid w:val="006D73D0"/>
    <w:rsid w:val="006E1AA5"/>
    <w:rsid w:val="006E2DB6"/>
    <w:rsid w:val="006F6999"/>
    <w:rsid w:val="00700F02"/>
    <w:rsid w:val="007018E9"/>
    <w:rsid w:val="007027EC"/>
    <w:rsid w:val="00703512"/>
    <w:rsid w:val="00704DA3"/>
    <w:rsid w:val="00710150"/>
    <w:rsid w:val="007317F2"/>
    <w:rsid w:val="0073689D"/>
    <w:rsid w:val="0074310E"/>
    <w:rsid w:val="007525B0"/>
    <w:rsid w:val="00753EA2"/>
    <w:rsid w:val="00772B00"/>
    <w:rsid w:val="00773E8B"/>
    <w:rsid w:val="00777F3A"/>
    <w:rsid w:val="00781BF6"/>
    <w:rsid w:val="0078428F"/>
    <w:rsid w:val="0078778B"/>
    <w:rsid w:val="007907F4"/>
    <w:rsid w:val="007A01FF"/>
    <w:rsid w:val="007A71F2"/>
    <w:rsid w:val="007B26CF"/>
    <w:rsid w:val="007B3D52"/>
    <w:rsid w:val="007C1E78"/>
    <w:rsid w:val="007C6D0E"/>
    <w:rsid w:val="007D7B6D"/>
    <w:rsid w:val="007E09AA"/>
    <w:rsid w:val="007E17D6"/>
    <w:rsid w:val="007E20B9"/>
    <w:rsid w:val="007E58EE"/>
    <w:rsid w:val="007E5FD9"/>
    <w:rsid w:val="007F3CC5"/>
    <w:rsid w:val="007F6107"/>
    <w:rsid w:val="0082133B"/>
    <w:rsid w:val="00824633"/>
    <w:rsid w:val="008331B6"/>
    <w:rsid w:val="00834511"/>
    <w:rsid w:val="00835977"/>
    <w:rsid w:val="0084693E"/>
    <w:rsid w:val="00847966"/>
    <w:rsid w:val="00852BFB"/>
    <w:rsid w:val="00853985"/>
    <w:rsid w:val="008567C8"/>
    <w:rsid w:val="00864505"/>
    <w:rsid w:val="00871DCC"/>
    <w:rsid w:val="00892C45"/>
    <w:rsid w:val="008A0DA1"/>
    <w:rsid w:val="008A2AE5"/>
    <w:rsid w:val="008A708D"/>
    <w:rsid w:val="008B76CF"/>
    <w:rsid w:val="008B7D68"/>
    <w:rsid w:val="008C1CDA"/>
    <w:rsid w:val="008C63B3"/>
    <w:rsid w:val="008D29FA"/>
    <w:rsid w:val="008D3D54"/>
    <w:rsid w:val="008D7BA6"/>
    <w:rsid w:val="008D7E41"/>
    <w:rsid w:val="008E0538"/>
    <w:rsid w:val="008E3734"/>
    <w:rsid w:val="008F2B95"/>
    <w:rsid w:val="008F3AC1"/>
    <w:rsid w:val="008F745D"/>
    <w:rsid w:val="009029B9"/>
    <w:rsid w:val="0092568B"/>
    <w:rsid w:val="00925AB6"/>
    <w:rsid w:val="0093450E"/>
    <w:rsid w:val="00937686"/>
    <w:rsid w:val="00945B9F"/>
    <w:rsid w:val="009461F2"/>
    <w:rsid w:val="009478F6"/>
    <w:rsid w:val="0095461F"/>
    <w:rsid w:val="009642BB"/>
    <w:rsid w:val="0097334A"/>
    <w:rsid w:val="0097370B"/>
    <w:rsid w:val="00973ACA"/>
    <w:rsid w:val="00975580"/>
    <w:rsid w:val="00980034"/>
    <w:rsid w:val="00981050"/>
    <w:rsid w:val="00981915"/>
    <w:rsid w:val="00981E98"/>
    <w:rsid w:val="0098617A"/>
    <w:rsid w:val="00995529"/>
    <w:rsid w:val="009A1485"/>
    <w:rsid w:val="009A1E1A"/>
    <w:rsid w:val="009A5877"/>
    <w:rsid w:val="009A7D4D"/>
    <w:rsid w:val="009B5B5D"/>
    <w:rsid w:val="009B5E46"/>
    <w:rsid w:val="009C4BEB"/>
    <w:rsid w:val="009D0A29"/>
    <w:rsid w:val="009D2AEB"/>
    <w:rsid w:val="009D61B1"/>
    <w:rsid w:val="009E38F0"/>
    <w:rsid w:val="009F480C"/>
    <w:rsid w:val="009F4F87"/>
    <w:rsid w:val="009F6199"/>
    <w:rsid w:val="00A00AA6"/>
    <w:rsid w:val="00A04197"/>
    <w:rsid w:val="00A0769A"/>
    <w:rsid w:val="00A10BC7"/>
    <w:rsid w:val="00A11DA3"/>
    <w:rsid w:val="00A14A5A"/>
    <w:rsid w:val="00A16AAF"/>
    <w:rsid w:val="00A25C76"/>
    <w:rsid w:val="00A2637F"/>
    <w:rsid w:val="00A26623"/>
    <w:rsid w:val="00A31D6E"/>
    <w:rsid w:val="00A334F2"/>
    <w:rsid w:val="00A41D7D"/>
    <w:rsid w:val="00A425BB"/>
    <w:rsid w:val="00A5147E"/>
    <w:rsid w:val="00A51E7D"/>
    <w:rsid w:val="00A5294A"/>
    <w:rsid w:val="00A6176B"/>
    <w:rsid w:val="00A61B4D"/>
    <w:rsid w:val="00A65CBC"/>
    <w:rsid w:val="00A71131"/>
    <w:rsid w:val="00A7475B"/>
    <w:rsid w:val="00A853E7"/>
    <w:rsid w:val="00A85D54"/>
    <w:rsid w:val="00A919D5"/>
    <w:rsid w:val="00A938E1"/>
    <w:rsid w:val="00AA3737"/>
    <w:rsid w:val="00AA7AAA"/>
    <w:rsid w:val="00AA7BAC"/>
    <w:rsid w:val="00AB6346"/>
    <w:rsid w:val="00AC4C31"/>
    <w:rsid w:val="00AD0FBE"/>
    <w:rsid w:val="00AD3193"/>
    <w:rsid w:val="00AD7610"/>
    <w:rsid w:val="00AE085D"/>
    <w:rsid w:val="00AE0DAF"/>
    <w:rsid w:val="00AE1650"/>
    <w:rsid w:val="00AE1B73"/>
    <w:rsid w:val="00AE39C6"/>
    <w:rsid w:val="00AE6105"/>
    <w:rsid w:val="00AE7A40"/>
    <w:rsid w:val="00B07724"/>
    <w:rsid w:val="00B13BB6"/>
    <w:rsid w:val="00B14004"/>
    <w:rsid w:val="00B15BCE"/>
    <w:rsid w:val="00B2215F"/>
    <w:rsid w:val="00B24EC9"/>
    <w:rsid w:val="00B307EE"/>
    <w:rsid w:val="00B31244"/>
    <w:rsid w:val="00B329D4"/>
    <w:rsid w:val="00B33AB1"/>
    <w:rsid w:val="00B42000"/>
    <w:rsid w:val="00B51A77"/>
    <w:rsid w:val="00B526E0"/>
    <w:rsid w:val="00B5525C"/>
    <w:rsid w:val="00B65B6D"/>
    <w:rsid w:val="00B71B18"/>
    <w:rsid w:val="00B726F4"/>
    <w:rsid w:val="00B72AB3"/>
    <w:rsid w:val="00B75E7E"/>
    <w:rsid w:val="00B82594"/>
    <w:rsid w:val="00B84649"/>
    <w:rsid w:val="00B84BB7"/>
    <w:rsid w:val="00B85952"/>
    <w:rsid w:val="00B90955"/>
    <w:rsid w:val="00BA375C"/>
    <w:rsid w:val="00BA4C64"/>
    <w:rsid w:val="00BA607E"/>
    <w:rsid w:val="00BA6A6B"/>
    <w:rsid w:val="00BB19B8"/>
    <w:rsid w:val="00BB40F0"/>
    <w:rsid w:val="00BB4B7B"/>
    <w:rsid w:val="00BB536E"/>
    <w:rsid w:val="00BC24DF"/>
    <w:rsid w:val="00BC2BD4"/>
    <w:rsid w:val="00BC5050"/>
    <w:rsid w:val="00BC685B"/>
    <w:rsid w:val="00BC68AB"/>
    <w:rsid w:val="00BD0BB1"/>
    <w:rsid w:val="00BD201B"/>
    <w:rsid w:val="00BD67AE"/>
    <w:rsid w:val="00BE4AF3"/>
    <w:rsid w:val="00BF0787"/>
    <w:rsid w:val="00BF318D"/>
    <w:rsid w:val="00C033C2"/>
    <w:rsid w:val="00C05F2B"/>
    <w:rsid w:val="00C230BC"/>
    <w:rsid w:val="00C25A97"/>
    <w:rsid w:val="00C43442"/>
    <w:rsid w:val="00C43721"/>
    <w:rsid w:val="00C50953"/>
    <w:rsid w:val="00C51F6C"/>
    <w:rsid w:val="00C5398E"/>
    <w:rsid w:val="00C53E06"/>
    <w:rsid w:val="00C66244"/>
    <w:rsid w:val="00C66F43"/>
    <w:rsid w:val="00C70651"/>
    <w:rsid w:val="00C7372E"/>
    <w:rsid w:val="00C73FE7"/>
    <w:rsid w:val="00C7497B"/>
    <w:rsid w:val="00C81E01"/>
    <w:rsid w:val="00C842E7"/>
    <w:rsid w:val="00CB16D6"/>
    <w:rsid w:val="00CB6449"/>
    <w:rsid w:val="00CC0499"/>
    <w:rsid w:val="00CC24EA"/>
    <w:rsid w:val="00CC34CB"/>
    <w:rsid w:val="00CC3981"/>
    <w:rsid w:val="00CC47E9"/>
    <w:rsid w:val="00CD20B0"/>
    <w:rsid w:val="00CD7A81"/>
    <w:rsid w:val="00CE0458"/>
    <w:rsid w:val="00CF374F"/>
    <w:rsid w:val="00CF7787"/>
    <w:rsid w:val="00D06C47"/>
    <w:rsid w:val="00D22AED"/>
    <w:rsid w:val="00D230E8"/>
    <w:rsid w:val="00D236AB"/>
    <w:rsid w:val="00D2685B"/>
    <w:rsid w:val="00D30FF1"/>
    <w:rsid w:val="00D31871"/>
    <w:rsid w:val="00D31F9E"/>
    <w:rsid w:val="00D37BC3"/>
    <w:rsid w:val="00D37BF5"/>
    <w:rsid w:val="00D422FF"/>
    <w:rsid w:val="00D45590"/>
    <w:rsid w:val="00D47830"/>
    <w:rsid w:val="00D53000"/>
    <w:rsid w:val="00D543DF"/>
    <w:rsid w:val="00D55606"/>
    <w:rsid w:val="00D67110"/>
    <w:rsid w:val="00D709EE"/>
    <w:rsid w:val="00D76A91"/>
    <w:rsid w:val="00D87C11"/>
    <w:rsid w:val="00D91957"/>
    <w:rsid w:val="00DA5726"/>
    <w:rsid w:val="00DA6160"/>
    <w:rsid w:val="00DB00B7"/>
    <w:rsid w:val="00DB0759"/>
    <w:rsid w:val="00DB19B7"/>
    <w:rsid w:val="00DB1A42"/>
    <w:rsid w:val="00DB28F6"/>
    <w:rsid w:val="00DB55DD"/>
    <w:rsid w:val="00DC02FB"/>
    <w:rsid w:val="00DD0FEE"/>
    <w:rsid w:val="00DD5379"/>
    <w:rsid w:val="00DE13F5"/>
    <w:rsid w:val="00DE34FE"/>
    <w:rsid w:val="00DE436B"/>
    <w:rsid w:val="00DE67E1"/>
    <w:rsid w:val="00DE6FED"/>
    <w:rsid w:val="00DF1330"/>
    <w:rsid w:val="00E02E2D"/>
    <w:rsid w:val="00E05C15"/>
    <w:rsid w:val="00E06448"/>
    <w:rsid w:val="00E22A28"/>
    <w:rsid w:val="00E23541"/>
    <w:rsid w:val="00E2423A"/>
    <w:rsid w:val="00E31945"/>
    <w:rsid w:val="00E36E70"/>
    <w:rsid w:val="00E436BE"/>
    <w:rsid w:val="00E52CDC"/>
    <w:rsid w:val="00E603ED"/>
    <w:rsid w:val="00E63998"/>
    <w:rsid w:val="00E6437A"/>
    <w:rsid w:val="00E662F1"/>
    <w:rsid w:val="00E67154"/>
    <w:rsid w:val="00E70CF9"/>
    <w:rsid w:val="00E7144C"/>
    <w:rsid w:val="00E80758"/>
    <w:rsid w:val="00E81729"/>
    <w:rsid w:val="00E82447"/>
    <w:rsid w:val="00E94E1F"/>
    <w:rsid w:val="00E97422"/>
    <w:rsid w:val="00E975C0"/>
    <w:rsid w:val="00EA14A2"/>
    <w:rsid w:val="00EA1FED"/>
    <w:rsid w:val="00EA5F72"/>
    <w:rsid w:val="00EB2072"/>
    <w:rsid w:val="00EB332C"/>
    <w:rsid w:val="00EB3A41"/>
    <w:rsid w:val="00EB6DE0"/>
    <w:rsid w:val="00EC6AF0"/>
    <w:rsid w:val="00EC788A"/>
    <w:rsid w:val="00ED4D9E"/>
    <w:rsid w:val="00EE49E1"/>
    <w:rsid w:val="00EE5416"/>
    <w:rsid w:val="00EE6CC8"/>
    <w:rsid w:val="00EE736F"/>
    <w:rsid w:val="00EF1292"/>
    <w:rsid w:val="00EF392B"/>
    <w:rsid w:val="00EF6975"/>
    <w:rsid w:val="00F039D0"/>
    <w:rsid w:val="00F043FC"/>
    <w:rsid w:val="00F05C36"/>
    <w:rsid w:val="00F07A77"/>
    <w:rsid w:val="00F17035"/>
    <w:rsid w:val="00F17CEF"/>
    <w:rsid w:val="00F20CD1"/>
    <w:rsid w:val="00F4130A"/>
    <w:rsid w:val="00F43CB6"/>
    <w:rsid w:val="00F448F7"/>
    <w:rsid w:val="00F560B4"/>
    <w:rsid w:val="00F63FCE"/>
    <w:rsid w:val="00F701AB"/>
    <w:rsid w:val="00F801A8"/>
    <w:rsid w:val="00F80777"/>
    <w:rsid w:val="00F81143"/>
    <w:rsid w:val="00F8399A"/>
    <w:rsid w:val="00F852C8"/>
    <w:rsid w:val="00F86317"/>
    <w:rsid w:val="00F87C0D"/>
    <w:rsid w:val="00F87C7D"/>
    <w:rsid w:val="00F91AEB"/>
    <w:rsid w:val="00F96AA0"/>
    <w:rsid w:val="00F973B8"/>
    <w:rsid w:val="00FA7F59"/>
    <w:rsid w:val="00FB4256"/>
    <w:rsid w:val="00FB595A"/>
    <w:rsid w:val="00FC1DD9"/>
    <w:rsid w:val="00FC3799"/>
    <w:rsid w:val="00FD1242"/>
    <w:rsid w:val="00FD1C0F"/>
    <w:rsid w:val="00FD2F56"/>
    <w:rsid w:val="00FD4507"/>
    <w:rsid w:val="00FD6667"/>
    <w:rsid w:val="00FE10F2"/>
    <w:rsid w:val="00FE7A00"/>
    <w:rsid w:val="00FF550D"/>
    <w:rsid w:val="00FF6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0ECBA"/>
  <w15:docId w15:val="{E63ACFF8-6BDE-4E49-9F23-215BFFF0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368A1"/>
    <w:pPr>
      <w:spacing w:after="120" w:line="319" w:lineRule="auto"/>
    </w:pPr>
    <w:rPr>
      <w:sz w:val="20"/>
      <w:lang w:val="en-NZ"/>
    </w:rPr>
  </w:style>
  <w:style w:type="paragraph" w:styleId="Heading1">
    <w:name w:val="heading 1"/>
    <w:aliases w:val="CLAUSE"/>
    <w:basedOn w:val="Normal"/>
    <w:next w:val="Normal"/>
    <w:link w:val="Heading1Char"/>
    <w:qFormat/>
    <w:rsid w:val="005E38EF"/>
    <w:pPr>
      <w:keepNext/>
      <w:keepLines/>
      <w:numPr>
        <w:numId w:val="2"/>
      </w:numPr>
      <w:spacing w:before="360" w:after="0" w:line="240" w:lineRule="auto"/>
      <w:outlineLvl w:val="0"/>
    </w:pPr>
    <w:rPr>
      <w:rFonts w:asciiTheme="majorHAnsi" w:eastAsiaTheme="majorEastAsia" w:hAnsiTheme="majorHAnsi" w:cstheme="majorBidi"/>
      <w:bCs/>
      <w:color w:val="5B9BD5" w:themeColor="accent1"/>
      <w:spacing w:val="20"/>
      <w:sz w:val="32"/>
      <w:szCs w:val="28"/>
    </w:rPr>
  </w:style>
  <w:style w:type="paragraph" w:styleId="Heading2">
    <w:name w:val="heading 2"/>
    <w:aliases w:val="Clause"/>
    <w:basedOn w:val="Normal"/>
    <w:next w:val="Normal"/>
    <w:link w:val="Heading2Char"/>
    <w:unhideWhenUsed/>
    <w:qFormat/>
    <w:rsid w:val="005E38EF"/>
    <w:pPr>
      <w:keepNext/>
      <w:keepLines/>
      <w:numPr>
        <w:ilvl w:val="1"/>
        <w:numId w:val="2"/>
      </w:numPr>
      <w:spacing w:before="120" w:after="0" w:line="240" w:lineRule="auto"/>
      <w:outlineLvl w:val="1"/>
    </w:pPr>
    <w:rPr>
      <w:rFonts w:eastAsiaTheme="majorEastAsia" w:cstheme="majorBidi"/>
      <w:b/>
      <w:bCs/>
      <w:color w:val="5B9BD5" w:themeColor="accent1"/>
      <w:sz w:val="28"/>
      <w:szCs w:val="26"/>
    </w:rPr>
  </w:style>
  <w:style w:type="paragraph" w:styleId="Heading3">
    <w:name w:val="heading 3"/>
    <w:basedOn w:val="Normal"/>
    <w:next w:val="Normal"/>
    <w:link w:val="Heading3Char"/>
    <w:unhideWhenUsed/>
    <w:qFormat/>
    <w:rsid w:val="005E38EF"/>
    <w:pPr>
      <w:keepNext/>
      <w:keepLines/>
      <w:numPr>
        <w:ilvl w:val="2"/>
        <w:numId w:val="2"/>
      </w:numPr>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Heading4">
    <w:name w:val="heading 4"/>
    <w:basedOn w:val="Normal"/>
    <w:next w:val="Normal"/>
    <w:link w:val="Heading4Char"/>
    <w:unhideWhenUsed/>
    <w:qFormat/>
    <w:rsid w:val="005E38EF"/>
    <w:pPr>
      <w:keepNext/>
      <w:keepLines/>
      <w:numPr>
        <w:ilvl w:val="3"/>
        <w:numId w:val="2"/>
      </w:numPr>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nhideWhenUsed/>
    <w:qFormat/>
    <w:rsid w:val="005E38EF"/>
    <w:pPr>
      <w:keepNext/>
      <w:keepLines/>
      <w:numPr>
        <w:ilvl w:val="4"/>
        <w:numId w:val="2"/>
      </w:numPr>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nhideWhenUsed/>
    <w:qFormat/>
    <w:rsid w:val="005E38EF"/>
    <w:pPr>
      <w:keepNext/>
      <w:keepLines/>
      <w:numPr>
        <w:ilvl w:val="5"/>
        <w:numId w:val="2"/>
      </w:numPr>
      <w:spacing w:before="200" w:after="0"/>
      <w:outlineLvl w:val="5"/>
    </w:pPr>
    <w:rPr>
      <w:rFonts w:asciiTheme="majorHAnsi" w:eastAsiaTheme="majorEastAsia" w:hAnsiTheme="majorHAnsi" w:cstheme="majorBidi"/>
      <w:iCs/>
      <w:color w:val="5B9BD5" w:themeColor="accent1"/>
      <w:sz w:val="22"/>
    </w:rPr>
  </w:style>
  <w:style w:type="paragraph" w:styleId="Heading7">
    <w:name w:val="heading 7"/>
    <w:basedOn w:val="Normal"/>
    <w:next w:val="Normal"/>
    <w:link w:val="Heading7Char"/>
    <w:unhideWhenUsed/>
    <w:qFormat/>
    <w:rsid w:val="005E38EF"/>
    <w:pPr>
      <w:keepNext/>
      <w:keepLines/>
      <w:numPr>
        <w:ilvl w:val="6"/>
        <w:numId w:val="2"/>
      </w:numPr>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nhideWhenUsed/>
    <w:qFormat/>
    <w:rsid w:val="005E38EF"/>
    <w:pPr>
      <w:keepNext/>
      <w:keepLines/>
      <w:numPr>
        <w:ilvl w:val="7"/>
        <w:numId w:val="2"/>
      </w:numPr>
      <w:spacing w:before="200" w:after="0"/>
      <w:outlineLvl w:val="7"/>
    </w:pPr>
    <w:rPr>
      <w:rFonts w:asciiTheme="majorHAnsi" w:eastAsiaTheme="majorEastAsia" w:hAnsiTheme="majorHAnsi" w:cstheme="majorBidi"/>
      <w:color w:val="000000"/>
      <w:szCs w:val="20"/>
    </w:rPr>
  </w:style>
  <w:style w:type="paragraph" w:styleId="Heading9">
    <w:name w:val="heading 9"/>
    <w:basedOn w:val="Normal"/>
    <w:next w:val="Normal"/>
    <w:link w:val="Heading9Char"/>
    <w:unhideWhenUsed/>
    <w:qFormat/>
    <w:rsid w:val="005E38EF"/>
    <w:pPr>
      <w:keepNext/>
      <w:keepLines/>
      <w:numPr>
        <w:ilvl w:val="8"/>
        <w:numId w:val="2"/>
      </w:numPr>
      <w:spacing w:before="200" w:after="0"/>
      <w:outlineLvl w:val="8"/>
    </w:pPr>
    <w:rPr>
      <w:rFonts w:asciiTheme="majorHAnsi" w:eastAsiaTheme="majorEastAsia" w:hAnsiTheme="majorHAnsi" w:cstheme="majorBidi"/>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subhead">
    <w:name w:val="Cover subhead"/>
    <w:basedOn w:val="Normal"/>
    <w:rsid w:val="004368A1"/>
    <w:pPr>
      <w:spacing w:after="600"/>
    </w:pPr>
    <w:rPr>
      <w:rFonts w:asciiTheme="majorHAnsi" w:hAnsiTheme="majorHAnsi"/>
      <w:color w:val="FFFFFF" w:themeColor="background1"/>
      <w:sz w:val="32"/>
    </w:rPr>
  </w:style>
  <w:style w:type="paragraph" w:customStyle="1" w:styleId="Coverheading">
    <w:name w:val="Cover heading"/>
    <w:basedOn w:val="Normal"/>
    <w:rsid w:val="004368A1"/>
    <w:pPr>
      <w:spacing w:after="600" w:line="580" w:lineRule="atLeast"/>
    </w:pPr>
    <w:rPr>
      <w:rFonts w:asciiTheme="majorHAnsi" w:hAnsiTheme="majorHAnsi"/>
      <w:color w:val="FFFFFF" w:themeColor="background1"/>
      <w:sz w:val="72"/>
    </w:rPr>
  </w:style>
  <w:style w:type="paragraph" w:customStyle="1" w:styleId="UnnumtextBodytext">
    <w:name w:val="Unnum text: Body text"/>
    <w:basedOn w:val="Normal"/>
    <w:qFormat/>
    <w:rsid w:val="004368A1"/>
  </w:style>
  <w:style w:type="paragraph" w:customStyle="1" w:styleId="Pageheading">
    <w:name w:val="Page heading"/>
    <w:aliases w:val="non-TOC"/>
    <w:basedOn w:val="Normal"/>
    <w:next w:val="UnnumtextBodytext"/>
    <w:rsid w:val="004368A1"/>
    <w:pPr>
      <w:keepNext/>
      <w:pageBreakBefore/>
      <w:spacing w:after="240" w:line="480" w:lineRule="atLeast"/>
    </w:pPr>
    <w:rPr>
      <w:rFonts w:asciiTheme="majorHAnsi" w:eastAsia="Times New Roman" w:hAnsiTheme="majorHAnsi" w:cs="Times New Roman"/>
      <w:color w:val="00B0F0"/>
      <w:sz w:val="48"/>
      <w:lang w:eastAsia="en-NZ"/>
    </w:rPr>
  </w:style>
  <w:style w:type="paragraph" w:styleId="Header">
    <w:name w:val="header"/>
    <w:basedOn w:val="Normal"/>
    <w:link w:val="HeaderChar"/>
    <w:unhideWhenUsed/>
    <w:rsid w:val="004368A1"/>
    <w:pPr>
      <w:tabs>
        <w:tab w:val="center" w:pos="4513"/>
        <w:tab w:val="right" w:pos="9026"/>
      </w:tabs>
      <w:spacing w:after="0" w:line="240" w:lineRule="auto"/>
      <w:jc w:val="right"/>
    </w:pPr>
    <w:rPr>
      <w:rFonts w:asciiTheme="majorHAnsi" w:hAnsiTheme="majorHAnsi"/>
      <w:sz w:val="16"/>
    </w:rPr>
  </w:style>
  <w:style w:type="character" w:customStyle="1" w:styleId="HeaderChar">
    <w:name w:val="Header Char"/>
    <w:basedOn w:val="DefaultParagraphFont"/>
    <w:link w:val="Header"/>
    <w:rsid w:val="004368A1"/>
    <w:rPr>
      <w:rFonts w:asciiTheme="majorHAnsi" w:hAnsiTheme="majorHAnsi"/>
      <w:sz w:val="16"/>
      <w:lang w:val="en-NZ"/>
    </w:rPr>
  </w:style>
  <w:style w:type="paragraph" w:styleId="Footer">
    <w:name w:val="footer"/>
    <w:basedOn w:val="Normal"/>
    <w:link w:val="FooterChar"/>
    <w:uiPriority w:val="99"/>
    <w:unhideWhenUsed/>
    <w:qFormat/>
    <w:rsid w:val="004368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8A1"/>
    <w:rPr>
      <w:sz w:val="20"/>
      <w:lang w:val="en-NZ"/>
    </w:rPr>
  </w:style>
  <w:style w:type="paragraph" w:styleId="TOC1">
    <w:name w:val="toc 1"/>
    <w:basedOn w:val="Normal"/>
    <w:next w:val="Normal"/>
    <w:autoRedefine/>
    <w:uiPriority w:val="39"/>
    <w:unhideWhenUsed/>
    <w:rsid w:val="004368A1"/>
    <w:pPr>
      <w:spacing w:before="360" w:after="0"/>
    </w:pPr>
    <w:rPr>
      <w:rFonts w:asciiTheme="majorHAnsi" w:hAnsiTheme="majorHAnsi" w:cstheme="majorHAnsi"/>
      <w:b/>
      <w:bCs/>
      <w:caps/>
      <w:sz w:val="24"/>
      <w:szCs w:val="24"/>
    </w:rPr>
  </w:style>
  <w:style w:type="paragraph" w:styleId="TOC2">
    <w:name w:val="toc 2"/>
    <w:basedOn w:val="TOC1"/>
    <w:next w:val="Normal"/>
    <w:autoRedefine/>
    <w:uiPriority w:val="39"/>
    <w:unhideWhenUsed/>
    <w:rsid w:val="004368A1"/>
    <w:pPr>
      <w:spacing w:before="240"/>
    </w:pPr>
    <w:rPr>
      <w:rFonts w:asciiTheme="minorHAnsi" w:hAnsiTheme="minorHAnsi" w:cstheme="minorHAnsi"/>
      <w:caps w:val="0"/>
      <w:sz w:val="20"/>
      <w:szCs w:val="20"/>
    </w:rPr>
  </w:style>
  <w:style w:type="character" w:styleId="PageNumber">
    <w:name w:val="page number"/>
    <w:basedOn w:val="DefaultParagraphFont"/>
    <w:unhideWhenUsed/>
    <w:rsid w:val="004368A1"/>
  </w:style>
  <w:style w:type="character" w:styleId="Hyperlink">
    <w:name w:val="Hyperlink"/>
    <w:basedOn w:val="DefaultParagraphFont"/>
    <w:uiPriority w:val="99"/>
    <w:unhideWhenUsed/>
    <w:rsid w:val="004368A1"/>
    <w:rPr>
      <w:color w:val="68B69C"/>
      <w:u w:val="single"/>
    </w:rPr>
  </w:style>
  <w:style w:type="character" w:customStyle="1" w:styleId="Heading1Char">
    <w:name w:val="Heading 1 Char"/>
    <w:aliases w:val="CLAUSE Char"/>
    <w:basedOn w:val="DefaultParagraphFont"/>
    <w:link w:val="Heading1"/>
    <w:rsid w:val="005E38EF"/>
    <w:rPr>
      <w:rFonts w:asciiTheme="majorHAnsi" w:eastAsiaTheme="majorEastAsia" w:hAnsiTheme="majorHAnsi" w:cstheme="majorBidi"/>
      <w:bCs/>
      <w:color w:val="5B9BD5" w:themeColor="accent1"/>
      <w:spacing w:val="20"/>
      <w:sz w:val="32"/>
      <w:szCs w:val="28"/>
      <w:lang w:val="en-NZ"/>
    </w:rPr>
  </w:style>
  <w:style w:type="character" w:customStyle="1" w:styleId="Heading2Char">
    <w:name w:val="Heading 2 Char"/>
    <w:aliases w:val="Clause Char"/>
    <w:basedOn w:val="DefaultParagraphFont"/>
    <w:link w:val="Heading2"/>
    <w:rsid w:val="005E38EF"/>
    <w:rPr>
      <w:rFonts w:eastAsiaTheme="majorEastAsia" w:cstheme="majorBidi"/>
      <w:b/>
      <w:bCs/>
      <w:color w:val="5B9BD5" w:themeColor="accent1"/>
      <w:sz w:val="28"/>
      <w:szCs w:val="26"/>
      <w:lang w:val="en-NZ"/>
    </w:rPr>
  </w:style>
  <w:style w:type="character" w:customStyle="1" w:styleId="Heading3Char">
    <w:name w:val="Heading 3 Char"/>
    <w:basedOn w:val="DefaultParagraphFont"/>
    <w:link w:val="Heading3"/>
    <w:rsid w:val="005E38EF"/>
    <w:rPr>
      <w:rFonts w:asciiTheme="majorHAnsi" w:eastAsiaTheme="majorEastAsia" w:hAnsiTheme="majorHAnsi" w:cstheme="majorBidi"/>
      <w:bCs/>
      <w:color w:val="44546A" w:themeColor="text2"/>
      <w:spacing w:val="14"/>
      <w:sz w:val="24"/>
      <w:lang w:val="en-NZ"/>
    </w:rPr>
  </w:style>
  <w:style w:type="character" w:customStyle="1" w:styleId="Heading4Char">
    <w:name w:val="Heading 4 Char"/>
    <w:basedOn w:val="DefaultParagraphFont"/>
    <w:link w:val="Heading4"/>
    <w:rsid w:val="005E38EF"/>
    <w:rPr>
      <w:rFonts w:eastAsiaTheme="majorEastAsia" w:cstheme="majorBidi"/>
      <w:b/>
      <w:bCs/>
      <w:i/>
      <w:iCs/>
      <w:color w:val="000000"/>
      <w:sz w:val="24"/>
      <w:lang w:val="en-NZ"/>
    </w:rPr>
  </w:style>
  <w:style w:type="character" w:customStyle="1" w:styleId="Heading5Char">
    <w:name w:val="Heading 5 Char"/>
    <w:basedOn w:val="DefaultParagraphFont"/>
    <w:link w:val="Heading5"/>
    <w:rsid w:val="005E38EF"/>
    <w:rPr>
      <w:rFonts w:asciiTheme="majorHAnsi" w:eastAsiaTheme="majorEastAsia" w:hAnsiTheme="majorHAnsi" w:cstheme="majorBidi"/>
      <w:color w:val="000000"/>
      <w:lang w:val="en-NZ"/>
    </w:rPr>
  </w:style>
  <w:style w:type="character" w:customStyle="1" w:styleId="Heading6Char">
    <w:name w:val="Heading 6 Char"/>
    <w:basedOn w:val="DefaultParagraphFont"/>
    <w:link w:val="Heading6"/>
    <w:rsid w:val="005E38EF"/>
    <w:rPr>
      <w:rFonts w:asciiTheme="majorHAnsi" w:eastAsiaTheme="majorEastAsia" w:hAnsiTheme="majorHAnsi" w:cstheme="majorBidi"/>
      <w:iCs/>
      <w:color w:val="5B9BD5" w:themeColor="accent1"/>
      <w:lang w:val="en-NZ"/>
    </w:rPr>
  </w:style>
  <w:style w:type="character" w:customStyle="1" w:styleId="Heading7Char">
    <w:name w:val="Heading 7 Char"/>
    <w:basedOn w:val="DefaultParagraphFont"/>
    <w:link w:val="Heading7"/>
    <w:rsid w:val="005E38EF"/>
    <w:rPr>
      <w:rFonts w:asciiTheme="majorHAnsi" w:eastAsiaTheme="majorEastAsia" w:hAnsiTheme="majorHAnsi" w:cstheme="majorBidi"/>
      <w:i/>
      <w:iCs/>
      <w:color w:val="000000"/>
      <w:lang w:val="en-NZ"/>
    </w:rPr>
  </w:style>
  <w:style w:type="character" w:customStyle="1" w:styleId="Heading8Char">
    <w:name w:val="Heading 8 Char"/>
    <w:basedOn w:val="DefaultParagraphFont"/>
    <w:link w:val="Heading8"/>
    <w:rsid w:val="005E38EF"/>
    <w:rPr>
      <w:rFonts w:asciiTheme="majorHAnsi" w:eastAsiaTheme="majorEastAsia" w:hAnsiTheme="majorHAnsi" w:cstheme="majorBidi"/>
      <w:color w:val="000000"/>
      <w:sz w:val="20"/>
      <w:szCs w:val="20"/>
      <w:lang w:val="en-NZ"/>
    </w:rPr>
  </w:style>
  <w:style w:type="character" w:customStyle="1" w:styleId="Heading9Char">
    <w:name w:val="Heading 9 Char"/>
    <w:basedOn w:val="DefaultParagraphFont"/>
    <w:link w:val="Heading9"/>
    <w:rsid w:val="005E38EF"/>
    <w:rPr>
      <w:rFonts w:asciiTheme="majorHAnsi" w:eastAsiaTheme="majorEastAsia" w:hAnsiTheme="majorHAnsi" w:cstheme="majorBidi"/>
      <w:i/>
      <w:iCs/>
      <w:color w:val="000000"/>
      <w:sz w:val="20"/>
      <w:szCs w:val="20"/>
      <w:lang w:val="en-NZ"/>
    </w:rPr>
  </w:style>
  <w:style w:type="paragraph" w:customStyle="1" w:styleId="1Heading">
    <w:name w:val="1. Heading"/>
    <w:basedOn w:val="Pageheading"/>
    <w:next w:val="UnnumtextBodytext"/>
    <w:qFormat/>
    <w:rsid w:val="005E38EF"/>
    <w:pPr>
      <w:numPr>
        <w:numId w:val="5"/>
      </w:numPr>
      <w:tabs>
        <w:tab w:val="left" w:pos="851"/>
      </w:tabs>
    </w:pPr>
  </w:style>
  <w:style w:type="paragraph" w:customStyle="1" w:styleId="11Heading">
    <w:name w:val="1.1 Heading"/>
    <w:basedOn w:val="UnnumtextBodytext"/>
    <w:next w:val="UnnumtextBodytext"/>
    <w:qFormat/>
    <w:rsid w:val="005E38EF"/>
    <w:pPr>
      <w:numPr>
        <w:ilvl w:val="1"/>
        <w:numId w:val="5"/>
      </w:numPr>
      <w:tabs>
        <w:tab w:val="left" w:pos="851"/>
      </w:tabs>
      <w:spacing w:before="240"/>
    </w:pPr>
    <w:rPr>
      <w:rFonts w:asciiTheme="majorHAnsi" w:hAnsiTheme="majorHAnsi"/>
      <w:color w:val="00B0F0"/>
      <w:sz w:val="36"/>
    </w:rPr>
  </w:style>
  <w:style w:type="paragraph" w:customStyle="1" w:styleId="111Heading">
    <w:name w:val="1.1.1 Heading"/>
    <w:basedOn w:val="UnnumtextBodytext"/>
    <w:qFormat/>
    <w:rsid w:val="005E38EF"/>
    <w:pPr>
      <w:numPr>
        <w:ilvl w:val="2"/>
        <w:numId w:val="5"/>
      </w:numPr>
      <w:tabs>
        <w:tab w:val="left" w:pos="851"/>
      </w:tabs>
      <w:spacing w:before="180"/>
    </w:pPr>
    <w:rPr>
      <w:rFonts w:asciiTheme="majorHAnsi" w:hAnsiTheme="majorHAnsi"/>
      <w:color w:val="00B0F0"/>
      <w:sz w:val="24"/>
    </w:rPr>
  </w:style>
  <w:style w:type="numbering" w:styleId="ArticleSection">
    <w:name w:val="Outline List 3"/>
    <w:basedOn w:val="NoList"/>
    <w:semiHidden/>
    <w:rsid w:val="005E38EF"/>
    <w:pPr>
      <w:numPr>
        <w:numId w:val="2"/>
      </w:numPr>
    </w:pPr>
  </w:style>
  <w:style w:type="paragraph" w:customStyle="1" w:styleId="labelled">
    <w:name w:val="labelled"/>
    <w:basedOn w:val="Normal"/>
    <w:rsid w:val="005E38EF"/>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E24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23A"/>
    <w:rPr>
      <w:rFonts w:ascii="Segoe UI" w:hAnsi="Segoe UI" w:cs="Segoe UI"/>
      <w:sz w:val="18"/>
      <w:szCs w:val="18"/>
      <w:lang w:val="en-NZ"/>
    </w:rPr>
  </w:style>
  <w:style w:type="character" w:styleId="CommentReference">
    <w:name w:val="annotation reference"/>
    <w:basedOn w:val="DefaultParagraphFont"/>
    <w:uiPriority w:val="99"/>
    <w:semiHidden/>
    <w:unhideWhenUsed/>
    <w:rsid w:val="004D060F"/>
    <w:rPr>
      <w:sz w:val="16"/>
      <w:szCs w:val="16"/>
    </w:rPr>
  </w:style>
  <w:style w:type="paragraph" w:styleId="CommentText">
    <w:name w:val="annotation text"/>
    <w:basedOn w:val="Normal"/>
    <w:link w:val="CommentTextChar"/>
    <w:uiPriority w:val="99"/>
    <w:unhideWhenUsed/>
    <w:rsid w:val="004D060F"/>
    <w:pPr>
      <w:spacing w:line="240" w:lineRule="auto"/>
    </w:pPr>
    <w:rPr>
      <w:szCs w:val="20"/>
    </w:rPr>
  </w:style>
  <w:style w:type="character" w:customStyle="1" w:styleId="CommentTextChar">
    <w:name w:val="Comment Text Char"/>
    <w:basedOn w:val="DefaultParagraphFont"/>
    <w:link w:val="CommentText"/>
    <w:uiPriority w:val="99"/>
    <w:rsid w:val="004D060F"/>
    <w:rPr>
      <w:sz w:val="20"/>
      <w:szCs w:val="20"/>
      <w:lang w:val="en-NZ"/>
    </w:rPr>
  </w:style>
  <w:style w:type="paragraph" w:styleId="CommentSubject">
    <w:name w:val="annotation subject"/>
    <w:basedOn w:val="CommentText"/>
    <w:next w:val="CommentText"/>
    <w:link w:val="CommentSubjectChar"/>
    <w:uiPriority w:val="99"/>
    <w:semiHidden/>
    <w:unhideWhenUsed/>
    <w:rsid w:val="004D060F"/>
    <w:rPr>
      <w:b/>
      <w:bCs/>
    </w:rPr>
  </w:style>
  <w:style w:type="character" w:customStyle="1" w:styleId="CommentSubjectChar">
    <w:name w:val="Comment Subject Char"/>
    <w:basedOn w:val="CommentTextChar"/>
    <w:link w:val="CommentSubject"/>
    <w:uiPriority w:val="99"/>
    <w:semiHidden/>
    <w:rsid w:val="004D060F"/>
    <w:rPr>
      <w:b/>
      <w:bCs/>
      <w:sz w:val="20"/>
      <w:szCs w:val="20"/>
      <w:lang w:val="en-NZ"/>
    </w:rPr>
  </w:style>
  <w:style w:type="paragraph" w:styleId="ListParagraph">
    <w:name w:val="List Paragraph"/>
    <w:aliases w:val="Inset Paragraph"/>
    <w:basedOn w:val="Normal"/>
    <w:uiPriority w:val="34"/>
    <w:qFormat/>
    <w:rsid w:val="00DE436B"/>
    <w:pPr>
      <w:spacing w:line="312" w:lineRule="auto"/>
      <w:ind w:left="284" w:right="284"/>
      <w:contextualSpacing/>
    </w:pPr>
    <w:rPr>
      <w:rFonts w:asciiTheme="majorHAnsi" w:hAnsiTheme="majorHAnsi" w:cstheme="majorHAnsi"/>
      <w:color w:val="000000" w:themeColor="text1"/>
      <w:sz w:val="22"/>
    </w:rPr>
  </w:style>
  <w:style w:type="paragraph" w:styleId="ListNumber">
    <w:name w:val="List Number"/>
    <w:aliases w:val="and sublists"/>
    <w:basedOn w:val="Normal"/>
    <w:uiPriority w:val="99"/>
    <w:unhideWhenUsed/>
    <w:rsid w:val="00DE436B"/>
    <w:pPr>
      <w:numPr>
        <w:numId w:val="10"/>
      </w:numPr>
      <w:contextualSpacing/>
    </w:pPr>
    <w:rPr>
      <w:rFonts w:asciiTheme="majorHAnsi" w:hAnsiTheme="majorHAnsi" w:cstheme="majorHAnsi"/>
      <w:sz w:val="22"/>
    </w:rPr>
  </w:style>
  <w:style w:type="paragraph" w:styleId="FootnoteText">
    <w:name w:val="footnote text"/>
    <w:basedOn w:val="Normal"/>
    <w:link w:val="FootnoteTextChar"/>
    <w:uiPriority w:val="99"/>
    <w:semiHidden/>
    <w:unhideWhenUsed/>
    <w:rsid w:val="008A2AE5"/>
    <w:pPr>
      <w:spacing w:after="0" w:line="240" w:lineRule="auto"/>
    </w:pPr>
    <w:rPr>
      <w:szCs w:val="20"/>
    </w:rPr>
  </w:style>
  <w:style w:type="character" w:customStyle="1" w:styleId="FootnoteTextChar">
    <w:name w:val="Footnote Text Char"/>
    <w:basedOn w:val="DefaultParagraphFont"/>
    <w:link w:val="FootnoteText"/>
    <w:uiPriority w:val="99"/>
    <w:semiHidden/>
    <w:rsid w:val="008A2AE5"/>
    <w:rPr>
      <w:sz w:val="20"/>
      <w:szCs w:val="20"/>
      <w:lang w:val="en-NZ"/>
    </w:rPr>
  </w:style>
  <w:style w:type="character" w:styleId="FootnoteReference">
    <w:name w:val="footnote reference"/>
    <w:basedOn w:val="DefaultParagraphFont"/>
    <w:uiPriority w:val="99"/>
    <w:semiHidden/>
    <w:unhideWhenUsed/>
    <w:rsid w:val="008A2AE5"/>
    <w:rPr>
      <w:vertAlign w:val="superscript"/>
    </w:rPr>
  </w:style>
  <w:style w:type="paragraph" w:customStyle="1" w:styleId="Default">
    <w:name w:val="Default"/>
    <w:rsid w:val="008A2AE5"/>
    <w:pPr>
      <w:autoSpaceDE w:val="0"/>
      <w:autoSpaceDN w:val="0"/>
      <w:adjustRightInd w:val="0"/>
      <w:spacing w:after="0" w:line="240" w:lineRule="auto"/>
    </w:pPr>
    <w:rPr>
      <w:rFonts w:ascii="Garamond" w:hAnsi="Garamond" w:cs="Garamond"/>
      <w:color w:val="000000"/>
      <w:sz w:val="24"/>
      <w:szCs w:val="24"/>
    </w:rPr>
  </w:style>
  <w:style w:type="table" w:styleId="TableGrid">
    <w:name w:val="Table Grid"/>
    <w:basedOn w:val="TableNormal"/>
    <w:uiPriority w:val="39"/>
    <w:rsid w:val="00BF0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837364">
      <w:bodyDiv w:val="1"/>
      <w:marLeft w:val="0"/>
      <w:marRight w:val="0"/>
      <w:marTop w:val="0"/>
      <w:marBottom w:val="0"/>
      <w:divBdr>
        <w:top w:val="none" w:sz="0" w:space="0" w:color="auto"/>
        <w:left w:val="none" w:sz="0" w:space="0" w:color="auto"/>
        <w:bottom w:val="none" w:sz="0" w:space="0" w:color="auto"/>
        <w:right w:val="none" w:sz="0" w:space="0" w:color="auto"/>
      </w:divBdr>
    </w:div>
    <w:div w:id="656809577">
      <w:bodyDiv w:val="1"/>
      <w:marLeft w:val="0"/>
      <w:marRight w:val="0"/>
      <w:marTop w:val="0"/>
      <w:marBottom w:val="0"/>
      <w:divBdr>
        <w:top w:val="none" w:sz="0" w:space="0" w:color="auto"/>
        <w:left w:val="none" w:sz="0" w:space="0" w:color="auto"/>
        <w:bottom w:val="none" w:sz="0" w:space="0" w:color="auto"/>
        <w:right w:val="none" w:sz="0" w:space="0" w:color="auto"/>
      </w:divBdr>
    </w:div>
    <w:div w:id="1792746790">
      <w:bodyDiv w:val="1"/>
      <w:marLeft w:val="0"/>
      <w:marRight w:val="0"/>
      <w:marTop w:val="0"/>
      <w:marBottom w:val="0"/>
      <w:divBdr>
        <w:top w:val="none" w:sz="0" w:space="0" w:color="auto"/>
        <w:left w:val="none" w:sz="0" w:space="0" w:color="auto"/>
        <w:bottom w:val="none" w:sz="0" w:space="0" w:color="auto"/>
        <w:right w:val="none" w:sz="0" w:space="0" w:color="auto"/>
      </w:divBdr>
    </w:div>
    <w:div w:id="203758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EAD3721AEAB149A647D3BDC534520C" ma:contentTypeVersion="2" ma:contentTypeDescription="Create a new document." ma:contentTypeScope="" ma:versionID="5ef79a4cc42a2ab049ca2e478d9b1e16">
  <xsd:schema xmlns:xsd="http://www.w3.org/2001/XMLSchema" xmlns:xs="http://www.w3.org/2001/XMLSchema" xmlns:p="http://schemas.microsoft.com/office/2006/metadata/properties" xmlns:ns2="c3b75abc-cbf7-4dbd-ab1d-00c80d992b46" targetNamespace="http://schemas.microsoft.com/office/2006/metadata/properties" ma:root="true" ma:fieldsID="c6e0861d5d9e782e4bf7871c457a846a" ns2:_="">
    <xsd:import namespace="c3b75abc-cbf7-4dbd-ab1d-00c80d992b4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75abc-cbf7-4dbd-ab1d-00c80d992b4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60B6C-C1AE-4410-9423-AFF6FBEF12DE}">
  <ds:schemaRefs>
    <ds:schemaRef ds:uri="http://schemas.microsoft.com/sharepoint/v3/contenttype/forms"/>
  </ds:schemaRefs>
</ds:datastoreItem>
</file>

<file path=customXml/itemProps2.xml><?xml version="1.0" encoding="utf-8"?>
<ds:datastoreItem xmlns:ds="http://schemas.openxmlformats.org/officeDocument/2006/customXml" ds:itemID="{9D1F8348-C25D-418B-B409-1ACD94EDF2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B9530D-936A-4D1F-BEAF-D6C00F86B0F2}"/>
</file>

<file path=customXml/itemProps4.xml><?xml version="1.0" encoding="utf-8"?>
<ds:datastoreItem xmlns:ds="http://schemas.openxmlformats.org/officeDocument/2006/customXml" ds:itemID="{8A6CCABC-CE86-4C3D-A7BC-285AB9AB4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14</Pages>
  <Words>5003</Words>
  <Characters>28522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deBoer</dc:creator>
  <cp:lastModifiedBy>David deBoer</cp:lastModifiedBy>
  <cp:revision>21</cp:revision>
  <cp:lastPrinted>2019-09-26T03:23:00Z</cp:lastPrinted>
  <dcterms:created xsi:type="dcterms:W3CDTF">2019-09-26T04:25:00Z</dcterms:created>
  <dcterms:modified xsi:type="dcterms:W3CDTF">2019-10-01T03:35:00Z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0x0101003AEAD3721AEAB149A647D3BDC534520C</vt:lpwstr>
  </property>
</Properties>
</file>